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77D5" w14:textId="53554060" w:rsidR="00573F2F" w:rsidRDefault="00573F2F" w:rsidP="00573F2F">
      <w:pPr>
        <w:jc w:val="center"/>
        <w:rPr>
          <w:b/>
        </w:rPr>
      </w:pPr>
      <w:r>
        <w:rPr>
          <w:b/>
        </w:rPr>
        <w:t>PIPPA COMMENTS</w:t>
      </w:r>
    </w:p>
    <w:p w14:paraId="2105504B" w14:textId="0C378E0B" w:rsidR="00573F2F" w:rsidRDefault="00573F2F" w:rsidP="00573F2F">
      <w:pPr>
        <w:jc w:val="center"/>
        <w:rPr>
          <w:b/>
        </w:rPr>
      </w:pPr>
      <w:r>
        <w:rPr>
          <w:b/>
        </w:rPr>
        <w:t>Monthly Operational Report (Hydro)</w:t>
      </w:r>
    </w:p>
    <w:p w14:paraId="42F3AC7A" w14:textId="77777777" w:rsidR="009F50E8" w:rsidRDefault="009F50E8" w:rsidP="001F309E">
      <w:pPr>
        <w:jc w:val="center"/>
        <w:rPr>
          <w:b/>
        </w:rPr>
      </w:pPr>
    </w:p>
    <w:tbl>
      <w:tblPr>
        <w:tblW w:w="13242" w:type="dxa"/>
        <w:tblInd w:w="93" w:type="dxa"/>
        <w:tblLook w:val="04A0" w:firstRow="1" w:lastRow="0" w:firstColumn="1" w:lastColumn="0" w:noHBand="0" w:noVBand="1"/>
      </w:tblPr>
      <w:tblGrid>
        <w:gridCol w:w="5280"/>
        <w:gridCol w:w="7962"/>
      </w:tblGrid>
      <w:tr w:rsidR="009F50E8" w:rsidRPr="009F50E8" w14:paraId="4C331626" w14:textId="77777777" w:rsidTr="00511F73">
        <w:trPr>
          <w:trHeight w:val="251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A654" w14:textId="77777777" w:rsidR="009F50E8" w:rsidRPr="009F50E8" w:rsidRDefault="009F50E8" w:rsidP="009F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5AE78" w14:textId="77777777" w:rsidR="009F50E8" w:rsidRPr="009F50E8" w:rsidRDefault="009F50E8" w:rsidP="009F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9F50E8" w:rsidRPr="009F50E8" w14:paraId="2C38F9C4" w14:textId="77777777" w:rsidTr="00511F73">
        <w:trPr>
          <w:trHeight w:val="251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8080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 OPERATIONAL DATA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FA065" w14:textId="77777777" w:rsidR="009F50E8" w:rsidRPr="009F50E8" w:rsidRDefault="009F50E8" w:rsidP="009F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F50E8" w:rsidRPr="009F50E8" w14:paraId="3B5BAC2C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9B16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1.0      Rated / Installed / Nameplate Capacity, MW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46E63" w14:textId="72AE4A69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Should </w:t>
            </w:r>
            <w:r w:rsidR="004935BD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="006239E9" w:rsidRPr="009F50E8">
              <w:rPr>
                <w:rFonts w:ascii="Arial" w:eastAsia="Times New Roman" w:hAnsi="Arial" w:cs="Arial"/>
                <w:sz w:val="16"/>
                <w:szCs w:val="16"/>
              </w:rPr>
              <w:t>Rate</w:t>
            </w:r>
            <w:r w:rsidR="006239E9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4935BD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4935BD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Installed</w:t>
            </w:r>
            <w:r w:rsidR="004935BD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r w:rsidR="004935BD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Nameplate</w:t>
            </w:r>
            <w:r w:rsidR="004935BD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  <w:r w:rsidR="00703415">
              <w:rPr>
                <w:rFonts w:ascii="Arial" w:eastAsia="Times New Roman" w:hAnsi="Arial" w:cs="Arial"/>
                <w:sz w:val="16"/>
                <w:szCs w:val="16"/>
              </w:rPr>
              <w:t xml:space="preserve"> be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treated separately?</w:t>
            </w:r>
            <w:r w:rsidR="008808B4">
              <w:rPr>
                <w:rFonts w:ascii="Arial" w:eastAsia="Times New Roman" w:hAnsi="Arial" w:cs="Arial"/>
                <w:sz w:val="16"/>
                <w:szCs w:val="16"/>
              </w:rPr>
              <w:t xml:space="preserve"> Or do they mean the same thing?</w:t>
            </w:r>
          </w:p>
        </w:tc>
      </w:tr>
      <w:tr w:rsidR="009F50E8" w:rsidRPr="009F50E8" w14:paraId="01A109DD" w14:textId="77777777" w:rsidTr="00511F73">
        <w:trPr>
          <w:trHeight w:val="443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F684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2.0     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Commisison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Month / Year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5FA52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Please clarify if this is the start or end of the commissioning period. If this is necessary, we suggest </w:t>
            </w:r>
            <w:proofErr w:type="gram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to change</w:t>
            </w:r>
            <w:proofErr w:type="gram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it to </w:t>
            </w:r>
            <w:r w:rsidR="00033F78">
              <w:rPr>
                <w:rFonts w:ascii="Arial" w:eastAsia="Times New Roman" w:hAnsi="Arial" w:cs="Arial"/>
                <w:sz w:val="16"/>
                <w:szCs w:val="16"/>
              </w:rPr>
              <w:t>“start of commercial operation”.</w:t>
            </w:r>
          </w:p>
        </w:tc>
      </w:tr>
      <w:tr w:rsidR="009F50E8" w:rsidRPr="009F50E8" w14:paraId="06ADDBE3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1052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12.0    Water Utilization Rate, Cubic Meter/kWh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2D3A3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Suggest to change to "Average Water Utilization Rate"</w:t>
            </w:r>
          </w:p>
        </w:tc>
      </w:tr>
      <w:tr w:rsidR="009F50E8" w:rsidRPr="009F50E8" w14:paraId="574DD8BD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501E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12.0    Spilled Energy,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37D61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Suggest to change to "Estimated Spilled Energy"</w:t>
            </w:r>
          </w:p>
        </w:tc>
      </w:tr>
      <w:tr w:rsidR="009F50E8" w:rsidRPr="009F50E8" w14:paraId="23FECA43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B714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13.0    Spilled Energy, Million Cubic Meter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C7419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Suggest to change to "Estimated Water"</w:t>
            </w:r>
          </w:p>
        </w:tc>
      </w:tr>
      <w:tr w:rsidR="009F50E8" w:rsidRPr="009F50E8" w14:paraId="1F53104E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2464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14.0    Reservoir Level and Stored Energy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ABEB5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50E8" w:rsidRPr="009F50E8" w14:paraId="5C52200E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4A84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          14.1  Beginning  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87D0C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50E8" w:rsidRPr="009F50E8" w14:paraId="10C2DD39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AC1A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Equivalent (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MWh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B3451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Suggest to change to "Estimated Equivalent Energy"</w:t>
            </w:r>
          </w:p>
        </w:tc>
      </w:tr>
      <w:tr w:rsidR="009F50E8" w:rsidRPr="009F50E8" w14:paraId="12EBD6FB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865C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          14.1  Ending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8492C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50E8" w:rsidRPr="009F50E8" w14:paraId="6B4837EA" w14:textId="77777777" w:rsidTr="00511F73">
        <w:trPr>
          <w:trHeight w:val="25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2549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Equivalent (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MWh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A6B04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Suggest to change to "Estimated Equivalent Energy"</w:t>
            </w:r>
          </w:p>
        </w:tc>
      </w:tr>
      <w:tr w:rsidR="009F50E8" w:rsidRPr="009F50E8" w14:paraId="3DC9E76F" w14:textId="77777777" w:rsidTr="00511F73">
        <w:trPr>
          <w:trHeight w:val="266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0671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16.0    Inflow,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1EF66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>Suggest to change to "Estimated Equivalent Energy of Inflow"</w:t>
            </w:r>
          </w:p>
        </w:tc>
      </w:tr>
      <w:tr w:rsidR="009F50E8" w:rsidRPr="009F50E8" w14:paraId="3E7079F0" w14:textId="77777777" w:rsidTr="00511F73">
        <w:trPr>
          <w:trHeight w:val="443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5CD4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trike/>
                <w:sz w:val="16"/>
                <w:szCs w:val="16"/>
              </w:rPr>
              <w:t>17.0    Outflow, Million Cubic Meter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5D9C7" w14:textId="77777777" w:rsidR="009F50E8" w:rsidRPr="009F50E8" w:rsidRDefault="009F50E8" w:rsidP="0003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This information is not necessary and might not be accurately measured since it could </w:t>
            </w:r>
            <w:r w:rsidR="005126BB" w:rsidRPr="009F50E8">
              <w:rPr>
                <w:rFonts w:ascii="Arial" w:eastAsia="Times New Roman" w:hAnsi="Arial" w:cs="Arial"/>
                <w:sz w:val="16"/>
                <w:szCs w:val="16"/>
              </w:rPr>
              <w:t>include</w:t>
            </w:r>
            <w:r w:rsidR="00033F78">
              <w:rPr>
                <w:rFonts w:ascii="Arial" w:eastAsia="Times New Roman" w:hAnsi="Arial" w:cs="Arial"/>
                <w:sz w:val="16"/>
                <w:szCs w:val="16"/>
              </w:rPr>
              <w:t xml:space="preserve"> evaporation, </w:t>
            </w:r>
            <w:r w:rsidR="00033F78" w:rsidRPr="009F50E8">
              <w:rPr>
                <w:rFonts w:ascii="Arial" w:eastAsia="Times New Roman" w:hAnsi="Arial" w:cs="Arial"/>
                <w:sz w:val="16"/>
                <w:szCs w:val="16"/>
              </w:rPr>
              <w:t>seepages</w:t>
            </w:r>
            <w:r w:rsidR="00033F78">
              <w:rPr>
                <w:rFonts w:ascii="Arial" w:eastAsia="Times New Roman" w:hAnsi="Arial" w:cs="Arial"/>
                <w:sz w:val="16"/>
                <w:szCs w:val="16"/>
              </w:rPr>
              <w:t xml:space="preserve"> and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water consumption of other hydro plants using water from the same reservoir. Water Consumed (10) and Spilled Water (13) should be enough.</w:t>
            </w:r>
          </w:p>
        </w:tc>
      </w:tr>
      <w:tr w:rsidR="009F50E8" w:rsidRPr="009F50E8" w14:paraId="3DAA3DE0" w14:textId="77777777" w:rsidTr="00511F73">
        <w:trPr>
          <w:trHeight w:val="887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D36F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trike/>
                <w:sz w:val="16"/>
                <w:szCs w:val="16"/>
              </w:rPr>
              <w:t>20.0    Plant Production Cost, Pesos/kWh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65512" w14:textId="77777777" w:rsidR="009F50E8" w:rsidRPr="009F50E8" w:rsidRDefault="009F50E8" w:rsidP="000D0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Should be deleted since Plant Production Cost is irrelevant for a hydro plant wherein fuel has no cost but limited and intermittent. Hydro plant operation is not cost-based but based on its optimum benefit to the system through water value. </w:t>
            </w:r>
            <w:r w:rsidR="000D0342">
              <w:rPr>
                <w:rFonts w:ascii="Arial" w:eastAsia="Times New Roman" w:hAnsi="Arial" w:cs="Arial"/>
                <w:sz w:val="16"/>
                <w:szCs w:val="16"/>
              </w:rPr>
              <w:t>Additionally, t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hese data do not have anything to do with the Rules and Procedures to Govern the Monitoring of Reliability Performance of Generating Units and Transmission System or its purpose(s) --monitor and determine reliability/availability of Generation Units and to make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GenCos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accountable.</w:t>
            </w:r>
          </w:p>
        </w:tc>
      </w:tr>
      <w:tr w:rsidR="009F50E8" w:rsidRPr="009F50E8" w14:paraId="37E985F1" w14:textId="77777777" w:rsidTr="00511F73">
        <w:trPr>
          <w:trHeight w:val="68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85E7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strike/>
                <w:sz w:val="16"/>
                <w:szCs w:val="16"/>
              </w:rPr>
              <w:t xml:space="preserve">21.0    Total Plant Operating Expenses, </w:t>
            </w:r>
            <w:proofErr w:type="spellStart"/>
            <w:r w:rsidRPr="009F50E8">
              <w:rPr>
                <w:rFonts w:ascii="Arial" w:eastAsia="Times New Roman" w:hAnsi="Arial" w:cs="Arial"/>
                <w:strike/>
                <w:sz w:val="16"/>
                <w:szCs w:val="16"/>
              </w:rPr>
              <w:t>Php</w:t>
            </w:r>
            <w:proofErr w:type="spellEnd"/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CC5A" w14:textId="58ADE002" w:rsidR="009F50E8" w:rsidRPr="009F50E8" w:rsidRDefault="00F04EBD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This item is not relevant to </w:t>
            </w:r>
            <w:r w:rsidR="009F50E8"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the Rules and Procedures to Govern the Monitoring of Reliability Performance of Generating Units and Transmission System or its purpose(s) -monitor and determine reliability/availability of Generation Units and to make </w:t>
            </w:r>
            <w:proofErr w:type="spellStart"/>
            <w:r w:rsidR="009F50E8" w:rsidRPr="009F50E8">
              <w:rPr>
                <w:rFonts w:ascii="Arial" w:eastAsia="Times New Roman" w:hAnsi="Arial" w:cs="Arial"/>
                <w:sz w:val="16"/>
                <w:szCs w:val="16"/>
              </w:rPr>
              <w:t>GenCos</w:t>
            </w:r>
            <w:proofErr w:type="spellEnd"/>
            <w:r w:rsidR="009F50E8"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accountable.</w:t>
            </w:r>
          </w:p>
        </w:tc>
      </w:tr>
      <w:tr w:rsidR="009F50E8" w:rsidRPr="009F50E8" w14:paraId="4A8D7119" w14:textId="77777777" w:rsidTr="00511F73">
        <w:trPr>
          <w:trHeight w:val="6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4219" w14:textId="77777777" w:rsidR="009F50E8" w:rsidRDefault="009F50E8" w:rsidP="009F50E8">
            <w:pPr>
              <w:spacing w:after="0" w:line="240" w:lineRule="auto"/>
            </w:pPr>
          </w:p>
          <w:p w14:paraId="482880DD" w14:textId="77777777" w:rsidR="009F50E8" w:rsidRPr="009F50E8" w:rsidRDefault="009F50E8" w:rsidP="009F50E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9F50E8">
              <w:rPr>
                <w:rFonts w:ascii="Arial" w:hAnsi="Arial" w:cs="Arial"/>
                <w:b/>
                <w:sz w:val="16"/>
              </w:rPr>
              <w:t>GENERATION AND SALES DATA</w:t>
            </w:r>
          </w:p>
          <w:p w14:paraId="54E47893" w14:textId="77777777" w:rsidR="009F50E8" w:rsidRDefault="009F50E8" w:rsidP="009F50E8">
            <w:pPr>
              <w:spacing w:after="0" w:line="240" w:lineRule="auto"/>
            </w:pPr>
          </w:p>
          <w:p w14:paraId="5BF27485" w14:textId="77777777" w:rsidR="009F50E8" w:rsidRP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  <w:r>
              <w:object w:dxaOrig="12690" w:dyaOrig="6930" w14:anchorId="6CDBB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8pt;height:137.6pt" o:ole="">
                  <v:imagedata r:id="rId9" o:title=""/>
                </v:shape>
                <o:OLEObject Type="Embed" ProgID="PBrush" ShapeID="_x0000_i1025" DrawAspect="Content" ObjectID="_1359203261" r:id="rId10"/>
              </w:objec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957" w14:textId="77777777" w:rsid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The following item should be deleted since it is already available in the </w:t>
            </w:r>
            <w:r w:rsidRPr="009F50E8">
              <w:rPr>
                <w:rFonts w:ascii="Arial" w:eastAsia="Times New Roman" w:hAnsi="Arial" w:cs="Arial"/>
                <w:b/>
                <w:sz w:val="16"/>
                <w:szCs w:val="16"/>
              </w:rPr>
              <w:t>PLANT OPERATIONS DATA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;</w:t>
            </w:r>
          </w:p>
          <w:p w14:paraId="12A67572" w14:textId="77777777" w:rsidR="009F50E8" w:rsidRDefault="009F50E8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Gross Generation</w:t>
            </w:r>
          </w:p>
          <w:p w14:paraId="16F44D31" w14:textId="77777777" w:rsidR="009F50E8" w:rsidRDefault="009F50E8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Station use</w:t>
            </w:r>
          </w:p>
          <w:p w14:paraId="3541FBD0" w14:textId="77777777" w:rsidR="009F50E8" w:rsidRDefault="009F50E8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Net generation</w:t>
            </w:r>
          </w:p>
          <w:p w14:paraId="3F661814" w14:textId="77777777" w:rsidR="009F50E8" w:rsidRDefault="009F50E8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Minimum load</w:t>
            </w:r>
          </w:p>
          <w:p w14:paraId="4AB695FA" w14:textId="77777777" w:rsidR="009F50E8" w:rsidRDefault="009F50E8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Average load</w:t>
            </w:r>
          </w:p>
          <w:p w14:paraId="59A46213" w14:textId="77777777" w:rsidR="009F50E8" w:rsidRDefault="009F50E8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Maximum delivered load</w:t>
            </w:r>
          </w:p>
          <w:p w14:paraId="12534CF8" w14:textId="77777777" w:rsid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BC864F" w14:textId="77777777" w:rsidR="009F50E8" w:rsidRDefault="009F50E8" w:rsidP="009F50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Additionally, the following are not </w:t>
            </w:r>
            <w:r w:rsidR="006239E9">
              <w:rPr>
                <w:rFonts w:ascii="Arial" w:eastAsia="Times New Roman" w:hAnsi="Arial" w:cs="Arial"/>
                <w:sz w:val="16"/>
                <w:szCs w:val="16"/>
              </w:rPr>
              <w:t>applicable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the current market set-up;</w:t>
            </w:r>
          </w:p>
          <w:p w14:paraId="7B7951B9" w14:textId="77777777" w:rsidR="009F50E8" w:rsidRDefault="006239E9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Losses and unaccounted</w:t>
            </w:r>
          </w:p>
          <w:p w14:paraId="78411BEB" w14:textId="77777777" w:rsidR="006239E9" w:rsidRDefault="006239E9" w:rsidP="009F50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Estimated unserved energy</w:t>
            </w:r>
          </w:p>
          <w:p w14:paraId="74D8EDFE" w14:textId="77777777" w:rsidR="006239E9" w:rsidRDefault="006239E9" w:rsidP="00623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2F3191" w14:textId="1B537BA9" w:rsidR="006239E9" w:rsidRPr="006239E9" w:rsidRDefault="006239E9" w:rsidP="007034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For the </w:t>
            </w:r>
            <w:r w:rsidR="000D0342"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  <w:r w:rsidR="000D0342" w:rsidRPr="006239E9">
              <w:rPr>
                <w:rFonts w:ascii="Arial" w:eastAsia="Times New Roman" w:hAnsi="Arial" w:cs="Arial"/>
                <w:sz w:val="16"/>
                <w:szCs w:val="16"/>
              </w:rPr>
              <w:t>Generation</w:t>
            </w:r>
            <w:r w:rsidRPr="006239E9">
              <w:rPr>
                <w:rFonts w:ascii="Arial" w:eastAsia="Times New Roman" w:hAnsi="Arial" w:cs="Arial"/>
                <w:sz w:val="16"/>
                <w:szCs w:val="16"/>
              </w:rPr>
              <w:t xml:space="preserve"> &amp; Sales Data, these are required by the ERC Regulations (COC Terms and Conditions) but only on an annual basis after each fiscal period BUT not on monthly basis.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Moreover</w:t>
            </w:r>
            <w:r w:rsidR="000D034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0D0342" w:rsidRPr="006239E9">
              <w:rPr>
                <w:rFonts w:ascii="Arial" w:eastAsia="Times New Roman" w:hAnsi="Arial" w:cs="Arial"/>
                <w:sz w:val="16"/>
                <w:szCs w:val="16"/>
              </w:rPr>
              <w:t>these</w:t>
            </w:r>
            <w:r w:rsidRPr="006239E9">
              <w:rPr>
                <w:rFonts w:ascii="Arial" w:eastAsia="Times New Roman" w:hAnsi="Arial" w:cs="Arial"/>
                <w:sz w:val="16"/>
                <w:szCs w:val="16"/>
              </w:rPr>
              <w:t xml:space="preserve"> data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has no connection in</w:t>
            </w:r>
            <w:r w:rsidRPr="006239E9">
              <w:rPr>
                <w:rFonts w:ascii="Arial" w:eastAsia="Times New Roman" w:hAnsi="Arial" w:cs="Arial"/>
                <w:sz w:val="16"/>
                <w:szCs w:val="16"/>
              </w:rPr>
              <w:t xml:space="preserve"> monitoring reliability performance of generating units</w:t>
            </w:r>
            <w:r w:rsidR="007034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14:paraId="2F38BBBA" w14:textId="77777777" w:rsidR="009F50E8" w:rsidRDefault="009F50E8" w:rsidP="001F309E">
      <w:pPr>
        <w:jc w:val="center"/>
        <w:rPr>
          <w:b/>
        </w:rPr>
      </w:pPr>
    </w:p>
    <w:p w14:paraId="4A50F0BF" w14:textId="77777777" w:rsidR="00573F2F" w:rsidRDefault="00573F2F" w:rsidP="001F309E">
      <w:pPr>
        <w:jc w:val="center"/>
        <w:rPr>
          <w:b/>
        </w:rPr>
      </w:pPr>
    </w:p>
    <w:p w14:paraId="1E30A46F" w14:textId="77777777" w:rsidR="00573F2F" w:rsidRDefault="00573F2F" w:rsidP="001F309E">
      <w:pPr>
        <w:jc w:val="center"/>
        <w:rPr>
          <w:b/>
        </w:rPr>
      </w:pPr>
    </w:p>
    <w:p w14:paraId="4B20F005" w14:textId="77777777" w:rsidR="00573F2F" w:rsidRDefault="00573F2F" w:rsidP="001F309E">
      <w:pPr>
        <w:jc w:val="center"/>
        <w:rPr>
          <w:b/>
        </w:rPr>
      </w:pPr>
    </w:p>
    <w:p w14:paraId="49A4C469" w14:textId="77777777" w:rsidR="00573F2F" w:rsidRDefault="00573F2F" w:rsidP="001F309E">
      <w:pPr>
        <w:jc w:val="center"/>
        <w:rPr>
          <w:b/>
        </w:rPr>
      </w:pPr>
    </w:p>
    <w:p w14:paraId="510FCCC1" w14:textId="77777777" w:rsidR="00573F2F" w:rsidRDefault="00573F2F" w:rsidP="001F309E">
      <w:pPr>
        <w:jc w:val="center"/>
        <w:rPr>
          <w:b/>
        </w:rPr>
      </w:pPr>
    </w:p>
    <w:p w14:paraId="662EF56F" w14:textId="77777777" w:rsidR="00573F2F" w:rsidRDefault="00573F2F" w:rsidP="001F309E">
      <w:pPr>
        <w:jc w:val="center"/>
        <w:rPr>
          <w:b/>
        </w:rPr>
      </w:pPr>
    </w:p>
    <w:p w14:paraId="328A7DB0" w14:textId="77777777" w:rsidR="00573F2F" w:rsidRDefault="00573F2F" w:rsidP="001F309E">
      <w:pPr>
        <w:jc w:val="center"/>
        <w:rPr>
          <w:b/>
        </w:rPr>
      </w:pPr>
    </w:p>
    <w:p w14:paraId="0604A507" w14:textId="77777777" w:rsidR="00573F2F" w:rsidRDefault="00573F2F" w:rsidP="001F309E">
      <w:pPr>
        <w:jc w:val="center"/>
        <w:rPr>
          <w:b/>
        </w:rPr>
      </w:pPr>
    </w:p>
    <w:p w14:paraId="7B3BBA15" w14:textId="77777777" w:rsidR="00573F2F" w:rsidRDefault="00573F2F" w:rsidP="001F309E">
      <w:pPr>
        <w:jc w:val="center"/>
        <w:rPr>
          <w:b/>
        </w:rPr>
      </w:pPr>
    </w:p>
    <w:p w14:paraId="3D5EAED7" w14:textId="77777777" w:rsidR="00573F2F" w:rsidRDefault="00573F2F" w:rsidP="001F309E">
      <w:pPr>
        <w:jc w:val="center"/>
        <w:rPr>
          <w:b/>
        </w:rPr>
      </w:pPr>
    </w:p>
    <w:p w14:paraId="746647A4" w14:textId="77777777" w:rsidR="00573F2F" w:rsidRDefault="00573F2F" w:rsidP="001F309E">
      <w:pPr>
        <w:jc w:val="center"/>
        <w:rPr>
          <w:b/>
        </w:rPr>
      </w:pPr>
    </w:p>
    <w:p w14:paraId="12D7611B" w14:textId="77777777" w:rsidR="00573F2F" w:rsidRDefault="00573F2F" w:rsidP="001F309E">
      <w:pPr>
        <w:jc w:val="center"/>
        <w:rPr>
          <w:b/>
        </w:rPr>
      </w:pPr>
    </w:p>
    <w:p w14:paraId="6BB50C77" w14:textId="77777777" w:rsidR="00573F2F" w:rsidRDefault="00573F2F" w:rsidP="001F309E">
      <w:pPr>
        <w:jc w:val="center"/>
        <w:rPr>
          <w:b/>
        </w:rPr>
      </w:pPr>
    </w:p>
    <w:p w14:paraId="5A7A30C7" w14:textId="622EAB58" w:rsidR="00573F2F" w:rsidRDefault="00573F2F" w:rsidP="0062420C">
      <w:pPr>
        <w:jc w:val="center"/>
        <w:rPr>
          <w:b/>
        </w:rPr>
      </w:pPr>
      <w:r>
        <w:rPr>
          <w:b/>
        </w:rPr>
        <w:lastRenderedPageBreak/>
        <w:t>PIPPA COMMENTS</w:t>
      </w:r>
    </w:p>
    <w:p w14:paraId="1CAE34DC" w14:textId="73F3BB2D" w:rsidR="00573F2F" w:rsidRDefault="00573F2F" w:rsidP="0062420C">
      <w:pPr>
        <w:jc w:val="center"/>
        <w:rPr>
          <w:b/>
        </w:rPr>
      </w:pPr>
      <w:r>
        <w:rPr>
          <w:b/>
        </w:rPr>
        <w:t>Monthly Operational Report (Geothermal)</w:t>
      </w:r>
    </w:p>
    <w:p w14:paraId="33703D7D" w14:textId="77777777" w:rsidR="00573F2F" w:rsidRDefault="00573F2F" w:rsidP="0062420C">
      <w:pPr>
        <w:rPr>
          <w:b/>
        </w:rPr>
      </w:pPr>
    </w:p>
    <w:tbl>
      <w:tblPr>
        <w:tblW w:w="13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7962"/>
      </w:tblGrid>
      <w:tr w:rsidR="00573F2F" w:rsidRPr="009F50E8" w14:paraId="58EB80D6" w14:textId="77777777" w:rsidTr="0062420C">
        <w:trPr>
          <w:trHeight w:val="251"/>
        </w:trPr>
        <w:tc>
          <w:tcPr>
            <w:tcW w:w="5280" w:type="dxa"/>
            <w:shd w:val="clear" w:color="auto" w:fill="auto"/>
          </w:tcPr>
          <w:p w14:paraId="22905D29" w14:textId="77777777" w:rsidR="00573F2F" w:rsidRPr="009F50E8" w:rsidRDefault="00573F2F" w:rsidP="00573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962" w:type="dxa"/>
            <w:shd w:val="clear" w:color="auto" w:fill="auto"/>
            <w:vAlign w:val="bottom"/>
          </w:tcPr>
          <w:p w14:paraId="1752A75E" w14:textId="77777777" w:rsidR="00573F2F" w:rsidRPr="009F50E8" w:rsidRDefault="00573F2F" w:rsidP="00573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573F2F" w:rsidRPr="009F50E8" w14:paraId="3F5A93C7" w14:textId="77777777" w:rsidTr="0062420C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5DBA7AB7" w14:textId="77777777" w:rsidR="00573F2F" w:rsidRPr="009F50E8" w:rsidRDefault="00573F2F" w:rsidP="00573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 OPERATIONAL DATA</w:t>
            </w:r>
          </w:p>
        </w:tc>
        <w:tc>
          <w:tcPr>
            <w:tcW w:w="7962" w:type="dxa"/>
            <w:shd w:val="clear" w:color="auto" w:fill="auto"/>
            <w:vAlign w:val="bottom"/>
            <w:hideMark/>
          </w:tcPr>
          <w:p w14:paraId="5602AAAD" w14:textId="77777777" w:rsidR="00573F2F" w:rsidRPr="009F50E8" w:rsidRDefault="00573F2F" w:rsidP="00573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3F2F" w:rsidRPr="009F50E8" w14:paraId="1EE9C50D" w14:textId="77777777" w:rsidTr="0062420C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10E40679" w14:textId="734C6E18" w:rsidR="00573F2F" w:rsidRPr="009F50E8" w:rsidRDefault="00573F2F" w:rsidP="00573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5.0 Total Station Used, kWh</w:t>
            </w:r>
          </w:p>
        </w:tc>
        <w:tc>
          <w:tcPr>
            <w:tcW w:w="7962" w:type="dxa"/>
            <w:shd w:val="clear" w:color="auto" w:fill="auto"/>
            <w:vAlign w:val="bottom"/>
            <w:hideMark/>
          </w:tcPr>
          <w:p w14:paraId="16D906E2" w14:textId="29B9C0AB" w:rsidR="00573F2F" w:rsidRPr="009F50E8" w:rsidRDefault="00573F2F" w:rsidP="00573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Kindly change to “Total Station Use”</w:t>
            </w:r>
          </w:p>
        </w:tc>
      </w:tr>
      <w:tr w:rsidR="00573F2F" w:rsidRPr="009F50E8" w14:paraId="55EBCEA3" w14:textId="77777777" w:rsidTr="0062420C">
        <w:trPr>
          <w:trHeight w:val="251"/>
        </w:trPr>
        <w:tc>
          <w:tcPr>
            <w:tcW w:w="5280" w:type="dxa"/>
            <w:shd w:val="clear" w:color="auto" w:fill="auto"/>
          </w:tcPr>
          <w:p w14:paraId="47A39124" w14:textId="3BE9E187" w:rsidR="00573F2F" w:rsidRDefault="0062420C" w:rsidP="00573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13. 0 Steam Deficiency,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7962" w:type="dxa"/>
            <w:shd w:val="clear" w:color="auto" w:fill="auto"/>
            <w:vAlign w:val="bottom"/>
          </w:tcPr>
          <w:p w14:paraId="6903E818" w14:textId="167DCB37" w:rsidR="00573F2F" w:rsidRDefault="0062420C" w:rsidP="00573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Kindly clarify the meaning of the term.</w:t>
            </w:r>
          </w:p>
        </w:tc>
      </w:tr>
      <w:tr w:rsidR="002B3186" w:rsidRPr="009F50E8" w14:paraId="5C4FDF5C" w14:textId="77777777" w:rsidTr="0062420C">
        <w:trPr>
          <w:trHeight w:val="251"/>
        </w:trPr>
        <w:tc>
          <w:tcPr>
            <w:tcW w:w="5280" w:type="dxa"/>
            <w:shd w:val="clear" w:color="auto" w:fill="auto"/>
          </w:tcPr>
          <w:p w14:paraId="7842083D" w14:textId="0E3B679F" w:rsidR="002B3186" w:rsidRDefault="002B3186" w:rsidP="00573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14.0 Plant Production Cost, Pesos/kWh</w:t>
            </w:r>
          </w:p>
        </w:tc>
        <w:tc>
          <w:tcPr>
            <w:tcW w:w="7962" w:type="dxa"/>
            <w:vMerge w:val="restart"/>
            <w:shd w:val="clear" w:color="auto" w:fill="auto"/>
            <w:vAlign w:val="bottom"/>
          </w:tcPr>
          <w:p w14:paraId="1842F8CF" w14:textId="6DCE18B8" w:rsidR="002B3186" w:rsidRDefault="002B3186" w:rsidP="002B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These items are not relevant to 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the Rules and Procedures to Govern the Monitoring of Reliability Performance of Generating Units and Transmission System or its purpose(s) -monitor and determine reliability/availability of Generation Units and to make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GenCos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accountable.</w:t>
            </w:r>
          </w:p>
        </w:tc>
      </w:tr>
      <w:tr w:rsidR="002B3186" w:rsidRPr="009F50E8" w14:paraId="0FA6D4B9" w14:textId="77777777" w:rsidTr="0062420C">
        <w:trPr>
          <w:trHeight w:val="251"/>
        </w:trPr>
        <w:tc>
          <w:tcPr>
            <w:tcW w:w="5280" w:type="dxa"/>
            <w:shd w:val="clear" w:color="auto" w:fill="auto"/>
          </w:tcPr>
          <w:p w14:paraId="1FC7DECC" w14:textId="1802EAE6" w:rsidR="002B3186" w:rsidRDefault="002B3186" w:rsidP="00573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15.0 Total Plant Operating Expenses,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PhP</w:t>
            </w:r>
            <w:proofErr w:type="spellEnd"/>
          </w:p>
        </w:tc>
        <w:tc>
          <w:tcPr>
            <w:tcW w:w="7962" w:type="dxa"/>
            <w:vMerge/>
            <w:shd w:val="clear" w:color="auto" w:fill="auto"/>
            <w:vAlign w:val="bottom"/>
          </w:tcPr>
          <w:p w14:paraId="51BB0B21" w14:textId="77777777" w:rsidR="002B3186" w:rsidRDefault="002B3186" w:rsidP="00573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8609439" w14:textId="77777777" w:rsidR="00573F2F" w:rsidRDefault="00573F2F" w:rsidP="0062420C">
      <w:pPr>
        <w:rPr>
          <w:b/>
        </w:rPr>
      </w:pPr>
    </w:p>
    <w:p w14:paraId="72E9C848" w14:textId="77777777" w:rsidR="0062420C" w:rsidRDefault="0062420C" w:rsidP="0062420C">
      <w:pPr>
        <w:rPr>
          <w:b/>
        </w:rPr>
      </w:pPr>
    </w:p>
    <w:p w14:paraId="0DB5610E" w14:textId="77777777" w:rsidR="0062420C" w:rsidRDefault="0062420C" w:rsidP="0062420C">
      <w:pPr>
        <w:rPr>
          <w:b/>
        </w:rPr>
      </w:pPr>
    </w:p>
    <w:p w14:paraId="25DAF810" w14:textId="77777777" w:rsidR="00F04EBD" w:rsidRDefault="00F04EBD" w:rsidP="0062420C">
      <w:pPr>
        <w:rPr>
          <w:b/>
        </w:rPr>
      </w:pPr>
    </w:p>
    <w:p w14:paraId="5C6B40DF" w14:textId="77777777" w:rsidR="00F04EBD" w:rsidRDefault="00F04EBD" w:rsidP="0062420C">
      <w:pPr>
        <w:rPr>
          <w:b/>
        </w:rPr>
      </w:pPr>
    </w:p>
    <w:p w14:paraId="19A49AA8" w14:textId="77777777" w:rsidR="00F04EBD" w:rsidRDefault="00F04EBD" w:rsidP="0062420C">
      <w:pPr>
        <w:rPr>
          <w:b/>
        </w:rPr>
      </w:pPr>
    </w:p>
    <w:p w14:paraId="5ACDEB3B" w14:textId="77777777" w:rsidR="00F04EBD" w:rsidRDefault="00F04EBD" w:rsidP="0062420C">
      <w:pPr>
        <w:rPr>
          <w:b/>
        </w:rPr>
      </w:pPr>
    </w:p>
    <w:p w14:paraId="28C62C39" w14:textId="77777777" w:rsidR="00F04EBD" w:rsidRDefault="00F04EBD" w:rsidP="0062420C">
      <w:pPr>
        <w:rPr>
          <w:b/>
        </w:rPr>
      </w:pPr>
    </w:p>
    <w:p w14:paraId="559B4EDD" w14:textId="77777777" w:rsidR="00F04EBD" w:rsidRDefault="00F04EBD" w:rsidP="0062420C">
      <w:pPr>
        <w:rPr>
          <w:b/>
        </w:rPr>
      </w:pPr>
    </w:p>
    <w:p w14:paraId="422D4B0D" w14:textId="77777777" w:rsidR="00F04EBD" w:rsidRDefault="00F04EBD" w:rsidP="0062420C">
      <w:pPr>
        <w:rPr>
          <w:b/>
        </w:rPr>
      </w:pPr>
    </w:p>
    <w:p w14:paraId="5EA51899" w14:textId="77777777" w:rsidR="00F04EBD" w:rsidRDefault="00F04EBD" w:rsidP="0062420C">
      <w:pPr>
        <w:rPr>
          <w:b/>
        </w:rPr>
      </w:pPr>
    </w:p>
    <w:p w14:paraId="7EAD8E7A" w14:textId="77777777" w:rsidR="00F04EBD" w:rsidRDefault="00F04EBD" w:rsidP="0062420C">
      <w:pPr>
        <w:rPr>
          <w:b/>
        </w:rPr>
      </w:pPr>
    </w:p>
    <w:p w14:paraId="633FE9E9" w14:textId="77777777" w:rsidR="00F04EBD" w:rsidRDefault="00F04EBD" w:rsidP="0062420C">
      <w:pPr>
        <w:rPr>
          <w:b/>
        </w:rPr>
      </w:pPr>
    </w:p>
    <w:p w14:paraId="25FD78C5" w14:textId="77777777" w:rsidR="00F04EBD" w:rsidRDefault="00F04EBD" w:rsidP="0062420C">
      <w:pPr>
        <w:rPr>
          <w:b/>
        </w:rPr>
      </w:pPr>
    </w:p>
    <w:p w14:paraId="708D1462" w14:textId="77777777" w:rsidR="00F04EBD" w:rsidRDefault="00F04EBD" w:rsidP="00F04EBD">
      <w:pPr>
        <w:jc w:val="center"/>
        <w:rPr>
          <w:b/>
        </w:rPr>
      </w:pPr>
      <w:r>
        <w:rPr>
          <w:b/>
        </w:rPr>
        <w:t>PIPPA COMMENTS</w:t>
      </w:r>
    </w:p>
    <w:p w14:paraId="6F53F034" w14:textId="52EEA8E8" w:rsidR="00F04EBD" w:rsidRDefault="00F04EBD" w:rsidP="00F04EBD">
      <w:pPr>
        <w:jc w:val="center"/>
        <w:rPr>
          <w:b/>
        </w:rPr>
      </w:pPr>
      <w:r>
        <w:rPr>
          <w:b/>
        </w:rPr>
        <w:t>Monthly Operational Report (Thermal)</w:t>
      </w:r>
    </w:p>
    <w:p w14:paraId="0232FDCB" w14:textId="77777777" w:rsidR="00F04EBD" w:rsidRDefault="00F04EBD" w:rsidP="00F04EBD">
      <w:pPr>
        <w:rPr>
          <w:b/>
        </w:rPr>
      </w:pPr>
    </w:p>
    <w:tbl>
      <w:tblPr>
        <w:tblW w:w="13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7962"/>
      </w:tblGrid>
      <w:tr w:rsidR="00F04EBD" w:rsidRPr="009F50E8" w14:paraId="2F20AB57" w14:textId="77777777" w:rsidTr="00F04EBD">
        <w:trPr>
          <w:trHeight w:val="251"/>
        </w:trPr>
        <w:tc>
          <w:tcPr>
            <w:tcW w:w="5280" w:type="dxa"/>
            <w:shd w:val="clear" w:color="auto" w:fill="auto"/>
          </w:tcPr>
          <w:p w14:paraId="793F14CE" w14:textId="77777777" w:rsidR="00F04EBD" w:rsidRPr="009F50E8" w:rsidRDefault="00F04EBD" w:rsidP="00F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962" w:type="dxa"/>
            <w:shd w:val="clear" w:color="auto" w:fill="auto"/>
            <w:vAlign w:val="bottom"/>
          </w:tcPr>
          <w:p w14:paraId="040E2EA9" w14:textId="77777777" w:rsidR="00F04EBD" w:rsidRPr="009F50E8" w:rsidRDefault="00F04EBD" w:rsidP="00F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F04EBD" w:rsidRPr="009F50E8" w14:paraId="716AD481" w14:textId="77777777" w:rsidTr="00F04EBD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1359E6F3" w14:textId="77777777" w:rsidR="00F04EBD" w:rsidRPr="009F50E8" w:rsidRDefault="00F04EBD" w:rsidP="00F04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 OPERATIONAL DATA</w:t>
            </w:r>
          </w:p>
        </w:tc>
        <w:tc>
          <w:tcPr>
            <w:tcW w:w="7962" w:type="dxa"/>
            <w:shd w:val="clear" w:color="auto" w:fill="auto"/>
            <w:vAlign w:val="bottom"/>
            <w:hideMark/>
          </w:tcPr>
          <w:p w14:paraId="7AFDB08C" w14:textId="77777777" w:rsidR="00F04EBD" w:rsidRPr="009F50E8" w:rsidRDefault="00F04EBD" w:rsidP="00F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04EBD" w:rsidRPr="009F50E8" w14:paraId="0EEDB989" w14:textId="77777777" w:rsidTr="00F04EBD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2A675D90" w14:textId="378E9EA7" w:rsidR="00F04EBD" w:rsidRPr="009F50E8" w:rsidRDefault="00F04EBD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10.0 Total Fuel Expenses, Pesos</w:t>
            </w:r>
          </w:p>
        </w:tc>
        <w:tc>
          <w:tcPr>
            <w:tcW w:w="7962" w:type="dxa"/>
            <w:shd w:val="clear" w:color="auto" w:fill="auto"/>
            <w:vAlign w:val="bottom"/>
            <w:hideMark/>
          </w:tcPr>
          <w:p w14:paraId="5A7D2B29" w14:textId="051B5031" w:rsidR="00F04EBD" w:rsidRPr="009F50E8" w:rsidRDefault="00F04EBD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This item is not relevant to 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the Rules and Procedures to Govern the Monitoring of Reliability Performance of Generating Units and Transmission System or its purpose(s) -monitor and determine reliability/availability of Generation Units and to make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GenCos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accountable.</w:t>
            </w:r>
          </w:p>
        </w:tc>
      </w:tr>
    </w:tbl>
    <w:p w14:paraId="3B60D715" w14:textId="77777777" w:rsidR="00F04EBD" w:rsidRDefault="00F04EBD" w:rsidP="00F04EBD">
      <w:pPr>
        <w:rPr>
          <w:b/>
        </w:rPr>
      </w:pPr>
    </w:p>
    <w:p w14:paraId="404D4CEE" w14:textId="77777777" w:rsidR="00F04EBD" w:rsidRDefault="00F04EBD" w:rsidP="0062420C">
      <w:pPr>
        <w:rPr>
          <w:b/>
        </w:rPr>
      </w:pPr>
    </w:p>
    <w:p w14:paraId="7CEC6D5A" w14:textId="77777777" w:rsidR="00086072" w:rsidRDefault="00086072" w:rsidP="00086072">
      <w:pPr>
        <w:spacing w:after="0" w:line="240" w:lineRule="auto"/>
        <w:jc w:val="both"/>
      </w:pPr>
    </w:p>
    <w:p w14:paraId="4EC3FB95" w14:textId="77777777" w:rsidR="00086072" w:rsidRDefault="00086072" w:rsidP="0062420C">
      <w:pPr>
        <w:rPr>
          <w:rFonts w:ascii="Tahoma" w:hAnsi="Tahoma" w:cs="Tahoma"/>
          <w:color w:val="1A1A1A"/>
          <w:sz w:val="26"/>
          <w:szCs w:val="26"/>
        </w:rPr>
      </w:pPr>
    </w:p>
    <w:p w14:paraId="4C3D75C4" w14:textId="5A453ACD" w:rsidR="00F04EBD" w:rsidRDefault="00F04EBD" w:rsidP="0062420C">
      <w:pPr>
        <w:rPr>
          <w:b/>
        </w:rPr>
      </w:pPr>
    </w:p>
    <w:p w14:paraId="777C2ED2" w14:textId="77777777" w:rsidR="00F04EBD" w:rsidRPr="00F04EBD" w:rsidRDefault="00F04EBD" w:rsidP="00F04EBD"/>
    <w:p w14:paraId="65EC19BE" w14:textId="77777777" w:rsidR="00F04EBD" w:rsidRPr="00F04EBD" w:rsidRDefault="00F04EBD" w:rsidP="00F04EBD"/>
    <w:p w14:paraId="17931690" w14:textId="77777777" w:rsidR="00F04EBD" w:rsidRPr="00F04EBD" w:rsidRDefault="00F04EBD" w:rsidP="00F04EBD"/>
    <w:p w14:paraId="12D191D0" w14:textId="77777777" w:rsidR="00F04EBD" w:rsidRPr="00F04EBD" w:rsidRDefault="00F04EBD" w:rsidP="00F04EBD"/>
    <w:p w14:paraId="2DA156ED" w14:textId="77777777" w:rsidR="00F04EBD" w:rsidRPr="00F04EBD" w:rsidRDefault="00F04EBD" w:rsidP="00F04EBD"/>
    <w:p w14:paraId="3F475B23" w14:textId="77777777" w:rsidR="00F04EBD" w:rsidRPr="00F04EBD" w:rsidRDefault="00F04EBD" w:rsidP="00F04EBD"/>
    <w:p w14:paraId="62F18EED" w14:textId="77777777" w:rsidR="00F04EBD" w:rsidRPr="00F04EBD" w:rsidRDefault="00F04EBD" w:rsidP="00F04EBD"/>
    <w:p w14:paraId="24A126BC" w14:textId="77777777" w:rsidR="00F04EBD" w:rsidRPr="00F04EBD" w:rsidRDefault="00F04EBD" w:rsidP="00F04EBD"/>
    <w:p w14:paraId="2CEDA0CB" w14:textId="5557CD8B" w:rsidR="00086072" w:rsidRDefault="00F04EBD" w:rsidP="00F04EBD">
      <w:pPr>
        <w:tabs>
          <w:tab w:val="left" w:pos="4760"/>
        </w:tabs>
      </w:pPr>
      <w:r>
        <w:lastRenderedPageBreak/>
        <w:tab/>
      </w:r>
    </w:p>
    <w:p w14:paraId="24751FC5" w14:textId="77777777" w:rsidR="00F04EBD" w:rsidRDefault="00F04EBD" w:rsidP="00F04EBD">
      <w:pPr>
        <w:tabs>
          <w:tab w:val="left" w:pos="4760"/>
        </w:tabs>
      </w:pPr>
    </w:p>
    <w:p w14:paraId="35C93F4D" w14:textId="77777777" w:rsidR="00F04EBD" w:rsidRDefault="00F04EBD" w:rsidP="00F04EBD">
      <w:pPr>
        <w:jc w:val="center"/>
        <w:rPr>
          <w:b/>
        </w:rPr>
      </w:pPr>
      <w:r>
        <w:rPr>
          <w:b/>
        </w:rPr>
        <w:t>PIPPA COMMENTS</w:t>
      </w:r>
    </w:p>
    <w:p w14:paraId="048E3090" w14:textId="7AA9B2B6" w:rsidR="00F04EBD" w:rsidRDefault="00F04EBD" w:rsidP="00F04EBD">
      <w:pPr>
        <w:jc w:val="center"/>
        <w:rPr>
          <w:b/>
        </w:rPr>
      </w:pPr>
      <w:r>
        <w:rPr>
          <w:b/>
        </w:rPr>
        <w:t>Monthly Operational Report (Wind)</w:t>
      </w:r>
    </w:p>
    <w:p w14:paraId="5DE9B1A5" w14:textId="77777777" w:rsidR="00F04EBD" w:rsidRDefault="00F04EBD" w:rsidP="00F04EBD">
      <w:pPr>
        <w:rPr>
          <w:b/>
        </w:rPr>
      </w:pPr>
    </w:p>
    <w:tbl>
      <w:tblPr>
        <w:tblW w:w="13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7962"/>
      </w:tblGrid>
      <w:tr w:rsidR="00F04EBD" w:rsidRPr="009F50E8" w14:paraId="285FF1EC" w14:textId="77777777" w:rsidTr="00F04EBD">
        <w:trPr>
          <w:trHeight w:val="251"/>
        </w:trPr>
        <w:tc>
          <w:tcPr>
            <w:tcW w:w="5280" w:type="dxa"/>
            <w:shd w:val="clear" w:color="auto" w:fill="auto"/>
          </w:tcPr>
          <w:p w14:paraId="6950DCA8" w14:textId="77777777" w:rsidR="00F04EBD" w:rsidRPr="009F50E8" w:rsidRDefault="00F04EBD" w:rsidP="00F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962" w:type="dxa"/>
            <w:shd w:val="clear" w:color="auto" w:fill="auto"/>
            <w:vAlign w:val="bottom"/>
          </w:tcPr>
          <w:p w14:paraId="5E2E1171" w14:textId="77777777" w:rsidR="00F04EBD" w:rsidRPr="009F50E8" w:rsidRDefault="00F04EBD" w:rsidP="00F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F04EBD" w:rsidRPr="009F50E8" w14:paraId="44468E4F" w14:textId="77777777" w:rsidTr="00F04EBD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03D0A45C" w14:textId="77777777" w:rsidR="00F04EBD" w:rsidRPr="009F50E8" w:rsidRDefault="00F04EBD" w:rsidP="00F04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 OPERATIONAL DATA</w:t>
            </w:r>
          </w:p>
        </w:tc>
        <w:tc>
          <w:tcPr>
            <w:tcW w:w="7962" w:type="dxa"/>
            <w:shd w:val="clear" w:color="auto" w:fill="auto"/>
            <w:vAlign w:val="bottom"/>
            <w:hideMark/>
          </w:tcPr>
          <w:p w14:paraId="763E04AE" w14:textId="77777777" w:rsidR="00F04EBD" w:rsidRPr="009F50E8" w:rsidRDefault="00F04EBD" w:rsidP="00F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B3186" w:rsidRPr="009F50E8" w14:paraId="7769ED36" w14:textId="77777777" w:rsidTr="00F04EBD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61CE335B" w14:textId="6139BC97" w:rsidR="002B3186" w:rsidRPr="009F50E8" w:rsidRDefault="002B3186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11.0 Plant Operating Cost,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PhP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/kWh</w:t>
            </w:r>
          </w:p>
        </w:tc>
        <w:tc>
          <w:tcPr>
            <w:tcW w:w="7962" w:type="dxa"/>
            <w:vMerge w:val="restart"/>
            <w:shd w:val="clear" w:color="auto" w:fill="auto"/>
            <w:vAlign w:val="bottom"/>
            <w:hideMark/>
          </w:tcPr>
          <w:p w14:paraId="3E950EEA" w14:textId="44936605" w:rsidR="002B3186" w:rsidRPr="009F50E8" w:rsidRDefault="002B3186" w:rsidP="002B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These items are not relevant to 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the Rules and Procedures to Govern the Monitoring of Reliability Performance of Generating Units and Transmission System or its purpose(s) -monitor and determine reliability/availability of Generation Units and to make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GenCos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accountable.</w:t>
            </w:r>
          </w:p>
        </w:tc>
      </w:tr>
      <w:tr w:rsidR="002B3186" w:rsidRPr="009F50E8" w14:paraId="1F168612" w14:textId="77777777" w:rsidTr="00F04EBD">
        <w:trPr>
          <w:trHeight w:val="251"/>
        </w:trPr>
        <w:tc>
          <w:tcPr>
            <w:tcW w:w="5280" w:type="dxa"/>
            <w:shd w:val="clear" w:color="auto" w:fill="auto"/>
          </w:tcPr>
          <w:p w14:paraId="5B60A4D7" w14:textId="7F04DE25" w:rsidR="002B3186" w:rsidRDefault="002B3186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12.0 Plant Maintenance Cost,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PhP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/kWh</w:t>
            </w:r>
          </w:p>
        </w:tc>
        <w:tc>
          <w:tcPr>
            <w:tcW w:w="7962" w:type="dxa"/>
            <w:vMerge/>
            <w:shd w:val="clear" w:color="auto" w:fill="auto"/>
            <w:vAlign w:val="bottom"/>
          </w:tcPr>
          <w:p w14:paraId="25A0A63F" w14:textId="77777777" w:rsidR="002B3186" w:rsidRDefault="002B3186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3186" w:rsidRPr="009F50E8" w14:paraId="5A64DDA5" w14:textId="77777777" w:rsidTr="00F04EBD">
        <w:trPr>
          <w:trHeight w:val="251"/>
        </w:trPr>
        <w:tc>
          <w:tcPr>
            <w:tcW w:w="5280" w:type="dxa"/>
            <w:shd w:val="clear" w:color="auto" w:fill="auto"/>
          </w:tcPr>
          <w:p w14:paraId="7D0384BE" w14:textId="275CC047" w:rsidR="002B3186" w:rsidRDefault="002B3186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13.0 Total O&amp;M Cost,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PhP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/kWh</w:t>
            </w:r>
          </w:p>
        </w:tc>
        <w:tc>
          <w:tcPr>
            <w:tcW w:w="7962" w:type="dxa"/>
            <w:vMerge/>
            <w:shd w:val="clear" w:color="auto" w:fill="auto"/>
            <w:vAlign w:val="bottom"/>
          </w:tcPr>
          <w:p w14:paraId="0B0859AC" w14:textId="77777777" w:rsidR="002B3186" w:rsidRDefault="002B3186" w:rsidP="00F04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5BE3863" w14:textId="77777777" w:rsidR="00F04EBD" w:rsidRDefault="00F04EBD" w:rsidP="00F04EBD">
      <w:pPr>
        <w:rPr>
          <w:b/>
        </w:rPr>
      </w:pPr>
    </w:p>
    <w:p w14:paraId="55CD086E" w14:textId="77777777" w:rsidR="00F04EBD" w:rsidRDefault="00F04EBD" w:rsidP="00F04EBD">
      <w:pPr>
        <w:tabs>
          <w:tab w:val="left" w:pos="4760"/>
        </w:tabs>
      </w:pPr>
    </w:p>
    <w:p w14:paraId="65BDA661" w14:textId="77777777" w:rsidR="002B3186" w:rsidRDefault="002B3186" w:rsidP="00F04EBD">
      <w:pPr>
        <w:tabs>
          <w:tab w:val="left" w:pos="4760"/>
        </w:tabs>
      </w:pPr>
    </w:p>
    <w:p w14:paraId="37A4CBE7" w14:textId="77777777" w:rsidR="002B3186" w:rsidRDefault="002B3186" w:rsidP="00F04EBD">
      <w:pPr>
        <w:tabs>
          <w:tab w:val="left" w:pos="4760"/>
        </w:tabs>
      </w:pPr>
    </w:p>
    <w:p w14:paraId="482F2FA3" w14:textId="77777777" w:rsidR="002B3186" w:rsidRDefault="002B3186" w:rsidP="00F04EBD">
      <w:pPr>
        <w:tabs>
          <w:tab w:val="left" w:pos="4760"/>
        </w:tabs>
      </w:pPr>
    </w:p>
    <w:p w14:paraId="55436E6F" w14:textId="77777777" w:rsidR="002B3186" w:rsidRDefault="002B3186" w:rsidP="00F04EBD">
      <w:pPr>
        <w:tabs>
          <w:tab w:val="left" w:pos="4760"/>
        </w:tabs>
      </w:pPr>
    </w:p>
    <w:p w14:paraId="16F07995" w14:textId="77777777" w:rsidR="002B3186" w:rsidRDefault="002B3186" w:rsidP="00F04EBD">
      <w:pPr>
        <w:tabs>
          <w:tab w:val="left" w:pos="4760"/>
        </w:tabs>
      </w:pPr>
    </w:p>
    <w:p w14:paraId="22751A21" w14:textId="77777777" w:rsidR="002B3186" w:rsidRDefault="002B3186" w:rsidP="00F04EBD">
      <w:pPr>
        <w:tabs>
          <w:tab w:val="left" w:pos="4760"/>
        </w:tabs>
      </w:pPr>
    </w:p>
    <w:p w14:paraId="01782508" w14:textId="77777777" w:rsidR="002B3186" w:rsidRDefault="002B3186" w:rsidP="00F04EBD">
      <w:pPr>
        <w:tabs>
          <w:tab w:val="left" w:pos="4760"/>
        </w:tabs>
      </w:pPr>
    </w:p>
    <w:p w14:paraId="79314A7E" w14:textId="77777777" w:rsidR="002B3186" w:rsidRDefault="002B3186" w:rsidP="00F04EBD">
      <w:pPr>
        <w:tabs>
          <w:tab w:val="left" w:pos="4760"/>
        </w:tabs>
      </w:pPr>
    </w:p>
    <w:p w14:paraId="7303B284" w14:textId="77777777" w:rsidR="002B3186" w:rsidRDefault="002B3186" w:rsidP="00F04EBD">
      <w:pPr>
        <w:tabs>
          <w:tab w:val="left" w:pos="4760"/>
        </w:tabs>
      </w:pPr>
    </w:p>
    <w:p w14:paraId="6FE46929" w14:textId="77777777" w:rsidR="002B3186" w:rsidRDefault="002B3186" w:rsidP="00F04EBD">
      <w:pPr>
        <w:tabs>
          <w:tab w:val="left" w:pos="4760"/>
        </w:tabs>
      </w:pPr>
    </w:p>
    <w:p w14:paraId="7BCF59BF" w14:textId="77777777" w:rsidR="00502CBC" w:rsidRDefault="00502CBC" w:rsidP="00502CBC">
      <w:pPr>
        <w:jc w:val="center"/>
        <w:rPr>
          <w:b/>
        </w:rPr>
      </w:pPr>
      <w:r>
        <w:rPr>
          <w:b/>
        </w:rPr>
        <w:t>PIPPA COMMENTS</w:t>
      </w:r>
    </w:p>
    <w:p w14:paraId="5CB2E826" w14:textId="2AED4874" w:rsidR="00502CBC" w:rsidRDefault="00502CBC" w:rsidP="00502CBC">
      <w:pPr>
        <w:jc w:val="center"/>
        <w:rPr>
          <w:b/>
        </w:rPr>
      </w:pPr>
      <w:r>
        <w:rPr>
          <w:b/>
        </w:rPr>
        <w:t>Mon</w:t>
      </w:r>
      <w:r>
        <w:rPr>
          <w:b/>
        </w:rPr>
        <w:t>thly Operational Report (Solar</w:t>
      </w:r>
      <w:r>
        <w:rPr>
          <w:b/>
        </w:rPr>
        <w:t>)</w:t>
      </w:r>
    </w:p>
    <w:p w14:paraId="28A349CD" w14:textId="77777777" w:rsidR="002B3186" w:rsidRDefault="002B3186" w:rsidP="00F04EBD">
      <w:pPr>
        <w:tabs>
          <w:tab w:val="left" w:pos="4760"/>
        </w:tabs>
      </w:pPr>
    </w:p>
    <w:p w14:paraId="1B52F359" w14:textId="77777777" w:rsidR="002B3186" w:rsidRDefault="002B3186" w:rsidP="00F04EBD">
      <w:pPr>
        <w:tabs>
          <w:tab w:val="left" w:pos="4760"/>
        </w:tabs>
      </w:pPr>
    </w:p>
    <w:tbl>
      <w:tblPr>
        <w:tblW w:w="13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7962"/>
      </w:tblGrid>
      <w:tr w:rsidR="002B3186" w:rsidRPr="009F50E8" w14:paraId="01F7B5E6" w14:textId="77777777" w:rsidTr="00B47443">
        <w:trPr>
          <w:trHeight w:val="251"/>
        </w:trPr>
        <w:tc>
          <w:tcPr>
            <w:tcW w:w="5280" w:type="dxa"/>
            <w:shd w:val="clear" w:color="auto" w:fill="auto"/>
          </w:tcPr>
          <w:p w14:paraId="52F15F2B" w14:textId="77777777" w:rsidR="002B3186" w:rsidRPr="009F50E8" w:rsidRDefault="002B3186" w:rsidP="00B4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962" w:type="dxa"/>
            <w:shd w:val="clear" w:color="auto" w:fill="auto"/>
            <w:vAlign w:val="bottom"/>
          </w:tcPr>
          <w:p w14:paraId="10DCCED7" w14:textId="77777777" w:rsidR="002B3186" w:rsidRPr="009F50E8" w:rsidRDefault="002B3186" w:rsidP="00B4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2B3186" w:rsidRPr="009F50E8" w14:paraId="768EA2E1" w14:textId="77777777" w:rsidTr="00B47443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1709D6FA" w14:textId="77777777" w:rsidR="002B3186" w:rsidRPr="009F50E8" w:rsidRDefault="002B3186" w:rsidP="00B47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50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 OPERATIONAL DATA</w:t>
            </w:r>
          </w:p>
        </w:tc>
        <w:tc>
          <w:tcPr>
            <w:tcW w:w="7962" w:type="dxa"/>
            <w:shd w:val="clear" w:color="auto" w:fill="auto"/>
            <w:vAlign w:val="bottom"/>
            <w:hideMark/>
          </w:tcPr>
          <w:p w14:paraId="6F8904EB" w14:textId="77777777" w:rsidR="002B3186" w:rsidRPr="009F50E8" w:rsidRDefault="002B3186" w:rsidP="00B4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03C1" w:rsidRPr="009F50E8" w14:paraId="5ADF5FB6" w14:textId="77777777" w:rsidTr="00B47443">
        <w:trPr>
          <w:trHeight w:val="251"/>
        </w:trPr>
        <w:tc>
          <w:tcPr>
            <w:tcW w:w="5280" w:type="dxa"/>
            <w:shd w:val="clear" w:color="auto" w:fill="auto"/>
            <w:hideMark/>
          </w:tcPr>
          <w:p w14:paraId="590B8726" w14:textId="0C3767EE" w:rsidR="008B03C1" w:rsidRPr="009F50E8" w:rsidRDefault="00502CBC" w:rsidP="00B47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="008B03C1">
              <w:rPr>
                <w:rFonts w:ascii="Arial" w:eastAsia="Times New Roman" w:hAnsi="Arial" w:cs="Arial"/>
                <w:sz w:val="16"/>
                <w:szCs w:val="16"/>
              </w:rPr>
              <w:t xml:space="preserve">.0 Plant Operating Cost, </w:t>
            </w:r>
            <w:proofErr w:type="spellStart"/>
            <w:r w:rsidR="008B03C1">
              <w:rPr>
                <w:rFonts w:ascii="Arial" w:eastAsia="Times New Roman" w:hAnsi="Arial" w:cs="Arial"/>
                <w:sz w:val="16"/>
                <w:szCs w:val="16"/>
              </w:rPr>
              <w:t>PhP</w:t>
            </w:r>
            <w:proofErr w:type="spellEnd"/>
            <w:r w:rsidR="008B03C1">
              <w:rPr>
                <w:rFonts w:ascii="Arial" w:eastAsia="Times New Roman" w:hAnsi="Arial" w:cs="Arial"/>
                <w:sz w:val="16"/>
                <w:szCs w:val="16"/>
              </w:rPr>
              <w:t>/kWh</w:t>
            </w:r>
          </w:p>
        </w:tc>
        <w:tc>
          <w:tcPr>
            <w:tcW w:w="7962" w:type="dxa"/>
            <w:vMerge w:val="restart"/>
            <w:shd w:val="clear" w:color="auto" w:fill="auto"/>
            <w:vAlign w:val="bottom"/>
            <w:hideMark/>
          </w:tcPr>
          <w:p w14:paraId="2A4CAEEC" w14:textId="2EF61324" w:rsidR="008B03C1" w:rsidRPr="009F50E8" w:rsidRDefault="008B03C1" w:rsidP="008B0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ese items are not relevant to </w:t>
            </w:r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the Rules and Procedures to Govern the Monitoring of Reliability Performance of Generating Units and Transmission System or its purpose(s) -monitor and determine reliability/availability of Generation Units and to make </w:t>
            </w:r>
            <w:proofErr w:type="spellStart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>GenCos</w:t>
            </w:r>
            <w:proofErr w:type="spellEnd"/>
            <w:r w:rsidRPr="009F50E8">
              <w:rPr>
                <w:rFonts w:ascii="Arial" w:eastAsia="Times New Roman" w:hAnsi="Arial" w:cs="Arial"/>
                <w:sz w:val="16"/>
                <w:szCs w:val="16"/>
              </w:rPr>
              <w:t xml:space="preserve"> accountable</w:t>
            </w:r>
          </w:p>
        </w:tc>
      </w:tr>
      <w:tr w:rsidR="008B03C1" w:rsidRPr="009F50E8" w14:paraId="7C2841F5" w14:textId="77777777" w:rsidTr="00B47443">
        <w:trPr>
          <w:trHeight w:val="251"/>
        </w:trPr>
        <w:tc>
          <w:tcPr>
            <w:tcW w:w="5280" w:type="dxa"/>
            <w:shd w:val="clear" w:color="auto" w:fill="auto"/>
          </w:tcPr>
          <w:p w14:paraId="4667AA00" w14:textId="7F7203FF" w:rsidR="008B03C1" w:rsidRDefault="00502CBC" w:rsidP="00B47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="008B03C1">
              <w:rPr>
                <w:rFonts w:ascii="Arial" w:eastAsia="Times New Roman" w:hAnsi="Arial" w:cs="Arial"/>
                <w:sz w:val="16"/>
                <w:szCs w:val="16"/>
              </w:rPr>
              <w:t xml:space="preserve">.0 Plant Maintenance Cost, </w:t>
            </w:r>
            <w:proofErr w:type="spellStart"/>
            <w:r w:rsidR="008B03C1">
              <w:rPr>
                <w:rFonts w:ascii="Arial" w:eastAsia="Times New Roman" w:hAnsi="Arial" w:cs="Arial"/>
                <w:sz w:val="16"/>
                <w:szCs w:val="16"/>
              </w:rPr>
              <w:t>PhP</w:t>
            </w:r>
            <w:proofErr w:type="spellEnd"/>
            <w:r w:rsidR="008B03C1">
              <w:rPr>
                <w:rFonts w:ascii="Arial" w:eastAsia="Times New Roman" w:hAnsi="Arial" w:cs="Arial"/>
                <w:sz w:val="16"/>
                <w:szCs w:val="16"/>
              </w:rPr>
              <w:t>/kWh</w:t>
            </w:r>
          </w:p>
        </w:tc>
        <w:tc>
          <w:tcPr>
            <w:tcW w:w="7962" w:type="dxa"/>
            <w:vMerge/>
            <w:shd w:val="clear" w:color="auto" w:fill="auto"/>
            <w:vAlign w:val="bottom"/>
          </w:tcPr>
          <w:p w14:paraId="11F19686" w14:textId="77777777" w:rsidR="008B03C1" w:rsidRDefault="008B03C1" w:rsidP="008B0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03C1" w:rsidRPr="009F50E8" w14:paraId="34120EC5" w14:textId="77777777" w:rsidTr="00B47443">
        <w:trPr>
          <w:trHeight w:val="251"/>
        </w:trPr>
        <w:tc>
          <w:tcPr>
            <w:tcW w:w="5280" w:type="dxa"/>
            <w:shd w:val="clear" w:color="auto" w:fill="auto"/>
          </w:tcPr>
          <w:p w14:paraId="2F774572" w14:textId="2A9147E5" w:rsidR="008B03C1" w:rsidRDefault="00502CBC" w:rsidP="00B47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 w:rsidR="008B03C1">
              <w:rPr>
                <w:rFonts w:ascii="Arial" w:eastAsia="Times New Roman" w:hAnsi="Arial" w:cs="Arial"/>
                <w:sz w:val="16"/>
                <w:szCs w:val="16"/>
              </w:rPr>
              <w:t xml:space="preserve">.0 Total O&amp;M Cost, </w:t>
            </w:r>
            <w:proofErr w:type="spellStart"/>
            <w:r w:rsidR="008B03C1">
              <w:rPr>
                <w:rFonts w:ascii="Arial" w:eastAsia="Times New Roman" w:hAnsi="Arial" w:cs="Arial"/>
                <w:sz w:val="16"/>
                <w:szCs w:val="16"/>
              </w:rPr>
              <w:t>PhP</w:t>
            </w:r>
            <w:proofErr w:type="spellEnd"/>
            <w:r w:rsidR="008B03C1">
              <w:rPr>
                <w:rFonts w:ascii="Arial" w:eastAsia="Times New Roman" w:hAnsi="Arial" w:cs="Arial"/>
                <w:sz w:val="16"/>
                <w:szCs w:val="16"/>
              </w:rPr>
              <w:t>/kWh</w:t>
            </w:r>
          </w:p>
        </w:tc>
        <w:tc>
          <w:tcPr>
            <w:tcW w:w="7962" w:type="dxa"/>
            <w:vMerge/>
            <w:shd w:val="clear" w:color="auto" w:fill="auto"/>
            <w:vAlign w:val="bottom"/>
          </w:tcPr>
          <w:p w14:paraId="0DB0008E" w14:textId="77777777" w:rsidR="008B03C1" w:rsidRDefault="008B03C1" w:rsidP="008B0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84E67CF" w14:textId="77777777" w:rsidR="002B3186" w:rsidRPr="00F04EBD" w:rsidRDefault="002B3186" w:rsidP="00F04EBD">
      <w:pPr>
        <w:tabs>
          <w:tab w:val="left" w:pos="4760"/>
        </w:tabs>
      </w:pPr>
    </w:p>
    <w:sectPr w:rsidR="002B3186" w:rsidRPr="00F04EBD" w:rsidSect="00163D40">
      <w:headerReference w:type="even" r:id="rId11"/>
      <w:headerReference w:type="default" r:id="rId12"/>
      <w:pgSz w:w="15840" w:h="12240" w:orient="landscape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3F82" w14:textId="77777777" w:rsidR="00163D40" w:rsidRDefault="00163D40" w:rsidP="00163D40">
      <w:pPr>
        <w:spacing w:after="0" w:line="240" w:lineRule="auto"/>
      </w:pPr>
      <w:r>
        <w:separator/>
      </w:r>
    </w:p>
  </w:endnote>
  <w:endnote w:type="continuationSeparator" w:id="0">
    <w:p w14:paraId="6D4BDCD1" w14:textId="77777777" w:rsidR="00163D40" w:rsidRDefault="00163D40" w:rsidP="001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24BF6" w14:textId="77777777" w:rsidR="00163D40" w:rsidRDefault="00163D40" w:rsidP="00163D40">
      <w:pPr>
        <w:spacing w:after="0" w:line="240" w:lineRule="auto"/>
      </w:pPr>
      <w:r>
        <w:separator/>
      </w:r>
    </w:p>
  </w:footnote>
  <w:footnote w:type="continuationSeparator" w:id="0">
    <w:p w14:paraId="584E5017" w14:textId="77777777" w:rsidR="00163D40" w:rsidRDefault="00163D40" w:rsidP="001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90DD" w14:textId="77777777" w:rsidR="00163D40" w:rsidRDefault="00163D40" w:rsidP="00041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6A2BA" w14:textId="77777777" w:rsidR="00163D40" w:rsidRDefault="00163D40" w:rsidP="00163D4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8C0A" w14:textId="77777777" w:rsidR="00163D40" w:rsidRDefault="00163D40" w:rsidP="00041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8F7FB24" w14:textId="77777777" w:rsidR="00163D40" w:rsidRDefault="00163D40" w:rsidP="00163D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895"/>
    <w:multiLevelType w:val="hybridMultilevel"/>
    <w:tmpl w:val="FC54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EB3"/>
    <w:multiLevelType w:val="hybridMultilevel"/>
    <w:tmpl w:val="14707B9E"/>
    <w:lvl w:ilvl="0" w:tplc="7B2264A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B7B75"/>
    <w:multiLevelType w:val="hybridMultilevel"/>
    <w:tmpl w:val="43E40F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2A61"/>
    <w:multiLevelType w:val="hybridMultilevel"/>
    <w:tmpl w:val="6F6E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B"/>
    <w:rsid w:val="00033F78"/>
    <w:rsid w:val="00086072"/>
    <w:rsid w:val="0009729F"/>
    <w:rsid w:val="000D0342"/>
    <w:rsid w:val="00163D40"/>
    <w:rsid w:val="001837AB"/>
    <w:rsid w:val="001F309E"/>
    <w:rsid w:val="002B3186"/>
    <w:rsid w:val="00354B0E"/>
    <w:rsid w:val="004935BD"/>
    <w:rsid w:val="00502CBC"/>
    <w:rsid w:val="00511F73"/>
    <w:rsid w:val="005126BB"/>
    <w:rsid w:val="00573F2F"/>
    <w:rsid w:val="006239E9"/>
    <w:rsid w:val="0062420C"/>
    <w:rsid w:val="00703415"/>
    <w:rsid w:val="008808B4"/>
    <w:rsid w:val="008B03C1"/>
    <w:rsid w:val="00984A82"/>
    <w:rsid w:val="009F50E8"/>
    <w:rsid w:val="00BC0556"/>
    <w:rsid w:val="00E61EE9"/>
    <w:rsid w:val="00F04E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ED40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40"/>
  </w:style>
  <w:style w:type="character" w:styleId="PageNumber">
    <w:name w:val="page number"/>
    <w:basedOn w:val="DefaultParagraphFont"/>
    <w:uiPriority w:val="99"/>
    <w:semiHidden/>
    <w:unhideWhenUsed/>
    <w:rsid w:val="00163D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40"/>
  </w:style>
  <w:style w:type="character" w:styleId="PageNumber">
    <w:name w:val="page number"/>
    <w:basedOn w:val="DefaultParagraphFont"/>
    <w:uiPriority w:val="99"/>
    <w:semiHidden/>
    <w:unhideWhenUsed/>
    <w:rsid w:val="0016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E6684-9684-6443-B628-1AEC394B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725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Alfie Miras</dc:creator>
  <cp:lastModifiedBy>AREM</cp:lastModifiedBy>
  <cp:revision>8</cp:revision>
  <dcterms:created xsi:type="dcterms:W3CDTF">2015-02-13T07:18:00Z</dcterms:created>
  <dcterms:modified xsi:type="dcterms:W3CDTF">2015-02-13T07:41:00Z</dcterms:modified>
</cp:coreProperties>
</file>