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78608" w14:textId="77777777" w:rsidR="006B277A" w:rsidRPr="00C14B3A" w:rsidRDefault="009F346B" w:rsidP="009F346B">
      <w:pPr>
        <w:jc w:val="center"/>
        <w:rPr>
          <w:rFonts w:asciiTheme="majorHAnsi" w:hAnsiTheme="majorHAnsi"/>
          <w:b/>
        </w:rPr>
      </w:pPr>
      <w:r w:rsidRPr="00C14B3A">
        <w:rPr>
          <w:rFonts w:asciiTheme="majorHAnsi" w:hAnsiTheme="majorHAnsi"/>
          <w:b/>
        </w:rPr>
        <w:t>PIPPA COMMENTS</w:t>
      </w:r>
    </w:p>
    <w:p w14:paraId="56EDC3BC" w14:textId="2F124895" w:rsidR="009F346B" w:rsidRPr="00C14B3A" w:rsidRDefault="002815C0" w:rsidP="009F346B">
      <w:pPr>
        <w:jc w:val="center"/>
        <w:rPr>
          <w:rFonts w:asciiTheme="majorHAnsi" w:hAnsiTheme="majorHAnsi"/>
          <w:b/>
        </w:rPr>
      </w:pPr>
      <w:r>
        <w:rPr>
          <w:rFonts w:asciiTheme="majorHAnsi" w:hAnsiTheme="majorHAnsi"/>
          <w:b/>
        </w:rPr>
        <w:t xml:space="preserve">6 March </w:t>
      </w:r>
      <w:r w:rsidR="009F346B" w:rsidRPr="00C14B3A">
        <w:rPr>
          <w:rFonts w:asciiTheme="majorHAnsi" w:hAnsiTheme="majorHAnsi"/>
          <w:b/>
        </w:rPr>
        <w:t>2014</w:t>
      </w:r>
    </w:p>
    <w:p w14:paraId="7A7AF389" w14:textId="1D9F5054" w:rsidR="009F346B" w:rsidRPr="00C14B3A" w:rsidRDefault="00CF5EC8" w:rsidP="009F346B">
      <w:pPr>
        <w:jc w:val="center"/>
        <w:rPr>
          <w:rFonts w:asciiTheme="majorHAnsi" w:hAnsiTheme="majorHAnsi"/>
        </w:rPr>
      </w:pPr>
      <w:r>
        <w:rPr>
          <w:rFonts w:asciiTheme="majorHAnsi" w:hAnsiTheme="majorHAnsi"/>
        </w:rPr>
        <w:t>House</w:t>
      </w:r>
      <w:r w:rsidR="009F346B" w:rsidRPr="00C14B3A">
        <w:rPr>
          <w:rFonts w:asciiTheme="majorHAnsi" w:hAnsiTheme="majorHAnsi"/>
        </w:rPr>
        <w:t xml:space="preserve"> </w:t>
      </w:r>
      <w:r w:rsidR="00FB2761">
        <w:rPr>
          <w:rFonts w:asciiTheme="majorHAnsi" w:hAnsiTheme="majorHAnsi"/>
        </w:rPr>
        <w:t>Bill</w:t>
      </w:r>
      <w:bookmarkStart w:id="0" w:name="_GoBack"/>
      <w:bookmarkEnd w:id="0"/>
    </w:p>
    <w:p w14:paraId="59DDD2B8" w14:textId="77777777" w:rsidR="002754A4" w:rsidRDefault="002754A4" w:rsidP="009F346B">
      <w:pPr>
        <w:jc w:val="both"/>
        <w:rPr>
          <w:rFonts w:asciiTheme="majorHAnsi" w:hAnsiTheme="majorHAnsi"/>
        </w:rPr>
      </w:pPr>
    </w:p>
    <w:p w14:paraId="2DE9B1BD" w14:textId="59CB4C82" w:rsidR="002754A4" w:rsidRPr="002754A4" w:rsidRDefault="00BA27B7" w:rsidP="00BA27B7">
      <w:pPr>
        <w:jc w:val="center"/>
        <w:rPr>
          <w:rFonts w:asciiTheme="majorHAnsi" w:hAnsiTheme="majorHAnsi"/>
        </w:rPr>
      </w:pPr>
      <w:r>
        <w:rPr>
          <w:rFonts w:asciiTheme="majorHAnsi" w:hAnsiTheme="majorHAnsi"/>
        </w:rPr>
        <w:t>AN ACT ESTABLISHING THE ENERGY SECURITY ASSETS PROGRAMS AND APPROPRIATING FUNDS THEREFOR</w:t>
      </w:r>
    </w:p>
    <w:p w14:paraId="795471C7" w14:textId="77777777" w:rsidR="002754A4" w:rsidRPr="00C14B3A" w:rsidRDefault="002754A4" w:rsidP="009F346B">
      <w:pPr>
        <w:jc w:val="both"/>
        <w:rPr>
          <w:rFonts w:asciiTheme="majorHAnsi" w:hAnsiTheme="majorHAnsi"/>
        </w:rPr>
      </w:pPr>
    </w:p>
    <w:p w14:paraId="379DE27E" w14:textId="77777777" w:rsidR="009F346B" w:rsidRPr="00C14B3A" w:rsidRDefault="009F346B" w:rsidP="009F346B">
      <w:pPr>
        <w:rPr>
          <w:rFonts w:asciiTheme="majorHAnsi" w:hAnsiTheme="majorHAnsi"/>
          <w:b/>
        </w:rPr>
      </w:pPr>
    </w:p>
    <w:p w14:paraId="48926D35" w14:textId="77777777" w:rsidR="009F346B" w:rsidRPr="00C14B3A" w:rsidRDefault="009F346B" w:rsidP="009F346B">
      <w:pPr>
        <w:rPr>
          <w:rFonts w:asciiTheme="majorHAnsi" w:hAnsiTheme="majorHAnsi"/>
          <w:b/>
        </w:rPr>
      </w:pPr>
    </w:p>
    <w:tbl>
      <w:tblPr>
        <w:tblStyle w:val="TableGrid"/>
        <w:tblW w:w="0" w:type="auto"/>
        <w:jc w:val="center"/>
        <w:tblInd w:w="-392" w:type="dxa"/>
        <w:tblLook w:val="04A0" w:firstRow="1" w:lastRow="0" w:firstColumn="1" w:lastColumn="0" w:noHBand="0" w:noVBand="1"/>
      </w:tblPr>
      <w:tblGrid>
        <w:gridCol w:w="4784"/>
        <w:gridCol w:w="4473"/>
        <w:gridCol w:w="4497"/>
      </w:tblGrid>
      <w:tr w:rsidR="009F346B" w:rsidRPr="00C14B3A" w14:paraId="47D337A6" w14:textId="77777777" w:rsidTr="004D4782">
        <w:trPr>
          <w:tblHeader/>
          <w:jc w:val="center"/>
        </w:trPr>
        <w:tc>
          <w:tcPr>
            <w:tcW w:w="4784" w:type="dxa"/>
            <w:shd w:val="clear" w:color="auto" w:fill="D9D9D9" w:themeFill="background1" w:themeFillShade="D9"/>
          </w:tcPr>
          <w:p w14:paraId="347454BC" w14:textId="77777777" w:rsidR="009F346B" w:rsidRPr="00C14B3A" w:rsidRDefault="009F346B" w:rsidP="009F346B">
            <w:pPr>
              <w:jc w:val="center"/>
              <w:rPr>
                <w:rFonts w:asciiTheme="majorHAnsi" w:hAnsiTheme="majorHAnsi"/>
                <w:b/>
              </w:rPr>
            </w:pPr>
            <w:r w:rsidRPr="00C14B3A">
              <w:rPr>
                <w:rFonts w:asciiTheme="majorHAnsi" w:hAnsiTheme="majorHAnsi"/>
                <w:b/>
              </w:rPr>
              <w:t>Original Provision</w:t>
            </w:r>
          </w:p>
        </w:tc>
        <w:tc>
          <w:tcPr>
            <w:tcW w:w="4473" w:type="dxa"/>
            <w:shd w:val="clear" w:color="auto" w:fill="D9D9D9" w:themeFill="background1" w:themeFillShade="D9"/>
          </w:tcPr>
          <w:p w14:paraId="6DE378E6" w14:textId="77777777" w:rsidR="009F346B" w:rsidRDefault="009F346B" w:rsidP="009F346B">
            <w:pPr>
              <w:jc w:val="center"/>
              <w:rPr>
                <w:rFonts w:asciiTheme="majorHAnsi" w:hAnsiTheme="majorHAnsi"/>
                <w:b/>
              </w:rPr>
            </w:pPr>
            <w:r w:rsidRPr="00C14B3A">
              <w:rPr>
                <w:rFonts w:asciiTheme="majorHAnsi" w:hAnsiTheme="majorHAnsi"/>
                <w:b/>
              </w:rPr>
              <w:t>Suggested Amendment</w:t>
            </w:r>
            <w:r w:rsidR="00C14B3A">
              <w:rPr>
                <w:rFonts w:asciiTheme="majorHAnsi" w:hAnsiTheme="majorHAnsi"/>
                <w:b/>
              </w:rPr>
              <w:t>[s]</w:t>
            </w:r>
          </w:p>
          <w:p w14:paraId="4AA21022" w14:textId="77777777" w:rsidR="00C14B3A" w:rsidRPr="00C14B3A" w:rsidRDefault="00C14B3A" w:rsidP="00C14B3A">
            <w:pPr>
              <w:jc w:val="both"/>
              <w:rPr>
                <w:rFonts w:asciiTheme="majorHAnsi" w:hAnsiTheme="majorHAnsi"/>
                <w:b/>
                <w:u w:val="double"/>
              </w:rPr>
            </w:pPr>
          </w:p>
        </w:tc>
        <w:tc>
          <w:tcPr>
            <w:tcW w:w="4497" w:type="dxa"/>
            <w:shd w:val="clear" w:color="auto" w:fill="D9D9D9" w:themeFill="background1" w:themeFillShade="D9"/>
          </w:tcPr>
          <w:p w14:paraId="4651B680" w14:textId="77777777" w:rsidR="009F346B" w:rsidRPr="00C14B3A" w:rsidRDefault="009F346B" w:rsidP="009F346B">
            <w:pPr>
              <w:jc w:val="center"/>
              <w:rPr>
                <w:rFonts w:asciiTheme="majorHAnsi" w:hAnsiTheme="majorHAnsi"/>
                <w:b/>
              </w:rPr>
            </w:pPr>
            <w:r w:rsidRPr="00C14B3A">
              <w:rPr>
                <w:rFonts w:asciiTheme="majorHAnsi" w:hAnsiTheme="majorHAnsi"/>
                <w:b/>
              </w:rPr>
              <w:t>Comment/Basis</w:t>
            </w:r>
          </w:p>
        </w:tc>
      </w:tr>
      <w:tr w:rsidR="00BA59D5" w:rsidRPr="00C14B3A" w14:paraId="57CFCDD1" w14:textId="77777777" w:rsidTr="00923E54">
        <w:trPr>
          <w:jc w:val="center"/>
        </w:trPr>
        <w:tc>
          <w:tcPr>
            <w:tcW w:w="13754" w:type="dxa"/>
            <w:gridSpan w:val="3"/>
          </w:tcPr>
          <w:p w14:paraId="6B08010E" w14:textId="77777777" w:rsidR="00BA59D5" w:rsidRDefault="00BA59D5" w:rsidP="00BA59D5">
            <w:pPr>
              <w:jc w:val="both"/>
              <w:rPr>
                <w:rFonts w:asciiTheme="majorHAnsi" w:hAnsiTheme="majorHAnsi"/>
                <w:sz w:val="22"/>
                <w:szCs w:val="22"/>
              </w:rPr>
            </w:pPr>
          </w:p>
          <w:p w14:paraId="5BD76314" w14:textId="6ED94345" w:rsidR="00BA59D5" w:rsidRDefault="00BA59D5" w:rsidP="00BA59D5">
            <w:pPr>
              <w:jc w:val="both"/>
              <w:rPr>
                <w:rFonts w:asciiTheme="majorHAnsi" w:hAnsiTheme="majorHAnsi"/>
                <w:sz w:val="22"/>
                <w:szCs w:val="22"/>
              </w:rPr>
            </w:pPr>
            <w:r w:rsidRPr="001D1D56">
              <w:rPr>
                <w:rFonts w:asciiTheme="majorHAnsi" w:hAnsiTheme="majorHAnsi"/>
                <w:sz w:val="22"/>
                <w:szCs w:val="22"/>
              </w:rPr>
              <w:t>General Comment: It is our position that the</w:t>
            </w:r>
            <w:r w:rsidR="00D83218" w:rsidRPr="001D1D56">
              <w:rPr>
                <w:rFonts w:asciiTheme="majorHAnsi" w:hAnsiTheme="majorHAnsi"/>
                <w:sz w:val="22"/>
                <w:szCs w:val="22"/>
              </w:rPr>
              <w:t>re is no need for the</w:t>
            </w:r>
            <w:r w:rsidRPr="001D1D56">
              <w:rPr>
                <w:rFonts w:asciiTheme="majorHAnsi" w:hAnsiTheme="majorHAnsi"/>
                <w:sz w:val="22"/>
                <w:szCs w:val="22"/>
              </w:rPr>
              <w:t xml:space="preserve"> government to procure additional generating unit</w:t>
            </w:r>
            <w:r w:rsidR="00D83218" w:rsidRPr="001D1D56">
              <w:rPr>
                <w:rFonts w:asciiTheme="majorHAnsi" w:hAnsiTheme="majorHAnsi"/>
                <w:sz w:val="22"/>
                <w:szCs w:val="22"/>
              </w:rPr>
              <w:t>s</w:t>
            </w:r>
            <w:r w:rsidRPr="001D1D56">
              <w:rPr>
                <w:rFonts w:asciiTheme="majorHAnsi" w:hAnsiTheme="majorHAnsi"/>
                <w:sz w:val="22"/>
                <w:szCs w:val="22"/>
              </w:rPr>
              <w:t xml:space="preserve"> as security asset</w:t>
            </w:r>
            <w:r w:rsidR="00D83218" w:rsidRPr="001D1D56">
              <w:rPr>
                <w:rFonts w:asciiTheme="majorHAnsi" w:hAnsiTheme="majorHAnsi"/>
                <w:sz w:val="22"/>
                <w:szCs w:val="22"/>
              </w:rPr>
              <w:t>s</w:t>
            </w:r>
            <w:r w:rsidRPr="001D1D56">
              <w:rPr>
                <w:rFonts w:asciiTheme="majorHAnsi" w:hAnsiTheme="majorHAnsi"/>
                <w:sz w:val="22"/>
                <w:szCs w:val="22"/>
              </w:rPr>
              <w:t xml:space="preserve">. The funds </w:t>
            </w:r>
            <w:r w:rsidR="00D83218" w:rsidRPr="001D1D56">
              <w:rPr>
                <w:rFonts w:asciiTheme="majorHAnsi" w:hAnsiTheme="majorHAnsi"/>
                <w:sz w:val="22"/>
                <w:szCs w:val="22"/>
              </w:rPr>
              <w:t xml:space="preserve">should instead be </w:t>
            </w:r>
            <w:r w:rsidR="008B0B8E" w:rsidRPr="001D1D56">
              <w:rPr>
                <w:rFonts w:asciiTheme="majorHAnsi" w:hAnsiTheme="majorHAnsi"/>
                <w:sz w:val="22"/>
                <w:szCs w:val="22"/>
              </w:rPr>
              <w:t>utilized</w:t>
            </w:r>
            <w:r w:rsidRPr="001D1D56">
              <w:rPr>
                <w:rFonts w:asciiTheme="majorHAnsi" w:hAnsiTheme="majorHAnsi"/>
                <w:sz w:val="22"/>
                <w:szCs w:val="22"/>
              </w:rPr>
              <w:t xml:space="preserve"> by government </w:t>
            </w:r>
            <w:r w:rsidR="00D83218" w:rsidRPr="001D1D56">
              <w:rPr>
                <w:rFonts w:asciiTheme="majorHAnsi" w:hAnsiTheme="majorHAnsi"/>
                <w:sz w:val="22"/>
                <w:szCs w:val="22"/>
              </w:rPr>
              <w:t>for</w:t>
            </w:r>
            <w:r w:rsidR="00D83218" w:rsidRPr="001D1D56">
              <w:rPr>
                <w:rFonts w:asciiTheme="majorHAnsi" w:hAnsiTheme="majorHAnsi"/>
                <w:sz w:val="22"/>
                <w:szCs w:val="22"/>
              </w:rPr>
              <w:t xml:space="preserve"> </w:t>
            </w:r>
            <w:r w:rsidRPr="001D1D56">
              <w:rPr>
                <w:rFonts w:asciiTheme="majorHAnsi" w:hAnsiTheme="majorHAnsi"/>
                <w:sz w:val="22"/>
                <w:szCs w:val="22"/>
              </w:rPr>
              <w:t xml:space="preserve">additional socio-economic projects which will have a direct </w:t>
            </w:r>
            <w:r w:rsidR="00D83218" w:rsidRPr="001D1D56">
              <w:rPr>
                <w:rFonts w:asciiTheme="majorHAnsi" w:hAnsiTheme="majorHAnsi"/>
                <w:sz w:val="22"/>
                <w:szCs w:val="22"/>
              </w:rPr>
              <w:t xml:space="preserve">impact </w:t>
            </w:r>
            <w:r w:rsidRPr="001D1D56">
              <w:rPr>
                <w:rFonts w:asciiTheme="majorHAnsi" w:hAnsiTheme="majorHAnsi"/>
                <w:sz w:val="22"/>
                <w:szCs w:val="22"/>
              </w:rPr>
              <w:t>in alleviating the lives of</w:t>
            </w:r>
            <w:r w:rsidR="00D83218" w:rsidRPr="001D1D56">
              <w:rPr>
                <w:rFonts w:asciiTheme="majorHAnsi" w:hAnsiTheme="majorHAnsi"/>
                <w:sz w:val="22"/>
                <w:szCs w:val="22"/>
              </w:rPr>
              <w:t xml:space="preserve"> the Filipino</w:t>
            </w:r>
            <w:r w:rsidRPr="001D1D56">
              <w:rPr>
                <w:rFonts w:asciiTheme="majorHAnsi" w:hAnsiTheme="majorHAnsi"/>
                <w:sz w:val="22"/>
                <w:szCs w:val="22"/>
              </w:rPr>
              <w:t xml:space="preserve"> people.</w:t>
            </w:r>
          </w:p>
          <w:p w14:paraId="2D1D65CE" w14:textId="77777777" w:rsidR="00BA59D5" w:rsidRDefault="00BA59D5" w:rsidP="00BA59D5">
            <w:pPr>
              <w:jc w:val="both"/>
              <w:rPr>
                <w:rFonts w:asciiTheme="majorHAnsi" w:hAnsiTheme="majorHAnsi"/>
                <w:sz w:val="22"/>
                <w:szCs w:val="22"/>
              </w:rPr>
            </w:pPr>
          </w:p>
          <w:p w14:paraId="0BDA7BE6" w14:textId="77777777" w:rsidR="00BA59D5" w:rsidRPr="00BA59D5" w:rsidRDefault="00BA59D5" w:rsidP="00BA59D5">
            <w:pPr>
              <w:jc w:val="both"/>
              <w:rPr>
                <w:rFonts w:asciiTheme="majorHAnsi" w:hAnsiTheme="majorHAnsi"/>
                <w:sz w:val="22"/>
                <w:szCs w:val="22"/>
              </w:rPr>
            </w:pPr>
          </w:p>
        </w:tc>
      </w:tr>
      <w:tr w:rsidR="00803C28" w:rsidRPr="00C14B3A" w14:paraId="7BCB444F" w14:textId="77777777" w:rsidTr="004D4782">
        <w:trPr>
          <w:jc w:val="center"/>
        </w:trPr>
        <w:tc>
          <w:tcPr>
            <w:tcW w:w="4784" w:type="dxa"/>
          </w:tcPr>
          <w:p w14:paraId="0D0AAB68" w14:textId="11C872D3" w:rsidR="00803C28" w:rsidRPr="00BA27B7" w:rsidRDefault="00BA27B7" w:rsidP="009F346B">
            <w:pPr>
              <w:rPr>
                <w:rFonts w:asciiTheme="majorHAnsi" w:hAnsiTheme="majorHAnsi"/>
                <w:sz w:val="22"/>
                <w:szCs w:val="22"/>
              </w:rPr>
            </w:pPr>
            <w:r>
              <w:rPr>
                <w:rFonts w:asciiTheme="majorHAnsi" w:hAnsiTheme="majorHAnsi"/>
                <w:b/>
                <w:sz w:val="22"/>
                <w:szCs w:val="22"/>
              </w:rPr>
              <w:t xml:space="preserve">Sec. 2. Declaration of State Policy. – </w:t>
            </w:r>
            <w:r>
              <w:rPr>
                <w:rFonts w:asciiTheme="majorHAnsi" w:hAnsiTheme="majorHAnsi"/>
                <w:sz w:val="22"/>
                <w:szCs w:val="22"/>
              </w:rPr>
              <w:t>It is hereby declared the policy of the state to ensure sufficient source of power supply at all times and therefore allow government to undertake necessary interventions during imminent shortage in power supply, consistent with the goal of promoting public welfare as well as the country’s economic development.</w:t>
            </w:r>
          </w:p>
        </w:tc>
        <w:tc>
          <w:tcPr>
            <w:tcW w:w="4473" w:type="dxa"/>
          </w:tcPr>
          <w:p w14:paraId="51A5F30A" w14:textId="51E9B562" w:rsidR="00803C28" w:rsidRPr="00C14B3A" w:rsidRDefault="002C7FAB" w:rsidP="00F11945">
            <w:pPr>
              <w:jc w:val="both"/>
              <w:rPr>
                <w:rFonts w:asciiTheme="majorHAnsi" w:hAnsiTheme="majorHAnsi"/>
                <w:sz w:val="22"/>
                <w:szCs w:val="22"/>
              </w:rPr>
            </w:pPr>
            <w:r w:rsidRPr="00C14B3A">
              <w:rPr>
                <w:rFonts w:asciiTheme="majorHAnsi" w:hAnsiTheme="majorHAnsi"/>
                <w:sz w:val="22"/>
                <w:szCs w:val="22"/>
              </w:rPr>
              <w:t xml:space="preserve"> </w:t>
            </w:r>
          </w:p>
        </w:tc>
        <w:tc>
          <w:tcPr>
            <w:tcW w:w="4497" w:type="dxa"/>
          </w:tcPr>
          <w:p w14:paraId="101D0724" w14:textId="77777777" w:rsidR="00B37690" w:rsidRDefault="00BA27B7" w:rsidP="00B37690">
            <w:pPr>
              <w:pStyle w:val="ListParagraph"/>
              <w:numPr>
                <w:ilvl w:val="0"/>
                <w:numId w:val="14"/>
              </w:numPr>
              <w:ind w:left="252" w:hanging="180"/>
              <w:jc w:val="both"/>
              <w:rPr>
                <w:rFonts w:asciiTheme="majorHAnsi" w:hAnsiTheme="majorHAnsi"/>
                <w:sz w:val="22"/>
                <w:szCs w:val="22"/>
              </w:rPr>
            </w:pPr>
            <w:r w:rsidRPr="00B37690">
              <w:rPr>
                <w:rFonts w:asciiTheme="majorHAnsi" w:hAnsiTheme="majorHAnsi"/>
                <w:sz w:val="22"/>
                <w:szCs w:val="22"/>
              </w:rPr>
              <w:t>Based on the Explanatory Note, the</w:t>
            </w:r>
            <w:r w:rsidR="00A97D86" w:rsidRPr="00B37690">
              <w:rPr>
                <w:rFonts w:asciiTheme="majorHAnsi" w:hAnsiTheme="majorHAnsi"/>
                <w:sz w:val="22"/>
                <w:szCs w:val="22"/>
              </w:rPr>
              <w:t xml:space="preserve"> bill seeks to establish the Energy Security Assets Program to address</w:t>
            </w:r>
            <w:r w:rsidR="00234425" w:rsidRPr="00B37690">
              <w:rPr>
                <w:rFonts w:asciiTheme="majorHAnsi" w:hAnsiTheme="majorHAnsi"/>
                <w:sz w:val="22"/>
                <w:szCs w:val="22"/>
              </w:rPr>
              <w:t xml:space="preserve"> future power supply needs of the country and projected </w:t>
            </w:r>
            <w:r w:rsidR="00A97D86" w:rsidRPr="00B37690">
              <w:rPr>
                <w:rFonts w:asciiTheme="majorHAnsi" w:hAnsiTheme="majorHAnsi"/>
                <w:sz w:val="22"/>
                <w:szCs w:val="22"/>
              </w:rPr>
              <w:t>shortages</w:t>
            </w:r>
            <w:r w:rsidR="00234425" w:rsidRPr="00B37690">
              <w:rPr>
                <w:rFonts w:asciiTheme="majorHAnsi" w:hAnsiTheme="majorHAnsi"/>
                <w:sz w:val="22"/>
                <w:szCs w:val="22"/>
              </w:rPr>
              <w:t xml:space="preserve"> in supply due to maintenance and forced outages of plants.</w:t>
            </w:r>
          </w:p>
          <w:p w14:paraId="6A3C8907" w14:textId="77777777" w:rsidR="00B37690" w:rsidRDefault="00B37690" w:rsidP="00B37690">
            <w:pPr>
              <w:pStyle w:val="ListParagraph"/>
              <w:ind w:left="252"/>
              <w:jc w:val="both"/>
              <w:rPr>
                <w:rFonts w:asciiTheme="majorHAnsi" w:hAnsiTheme="majorHAnsi"/>
                <w:sz w:val="22"/>
                <w:szCs w:val="22"/>
              </w:rPr>
            </w:pPr>
          </w:p>
          <w:p w14:paraId="7FB3E64C" w14:textId="77777777" w:rsidR="00CC73FE" w:rsidRDefault="00C03D8D" w:rsidP="00B37690">
            <w:pPr>
              <w:pStyle w:val="ListParagraph"/>
              <w:ind w:left="252"/>
              <w:jc w:val="both"/>
              <w:rPr>
                <w:rFonts w:asciiTheme="majorHAnsi" w:hAnsiTheme="majorHAnsi"/>
                <w:sz w:val="22"/>
                <w:szCs w:val="22"/>
              </w:rPr>
            </w:pPr>
            <w:r w:rsidRPr="00B37690">
              <w:rPr>
                <w:rFonts w:asciiTheme="majorHAnsi" w:hAnsiTheme="majorHAnsi"/>
                <w:sz w:val="22"/>
                <w:szCs w:val="22"/>
              </w:rPr>
              <w:t>The premise for the bill and its declaration of policy is misplaced</w:t>
            </w:r>
            <w:r w:rsidR="00B37690" w:rsidRPr="00B37690">
              <w:rPr>
                <w:rFonts w:asciiTheme="majorHAnsi" w:hAnsiTheme="majorHAnsi"/>
                <w:sz w:val="22"/>
                <w:szCs w:val="22"/>
              </w:rPr>
              <w:t xml:space="preserve"> </w:t>
            </w:r>
            <w:r w:rsidR="00CC73FE">
              <w:rPr>
                <w:rFonts w:asciiTheme="majorHAnsi" w:hAnsiTheme="majorHAnsi"/>
                <w:sz w:val="22"/>
                <w:szCs w:val="22"/>
              </w:rPr>
              <w:t>for the following reasons:</w:t>
            </w:r>
          </w:p>
          <w:p w14:paraId="3EFE7ECC" w14:textId="77777777" w:rsidR="00CC73FE" w:rsidRDefault="00CC73FE" w:rsidP="00B37690">
            <w:pPr>
              <w:pStyle w:val="ListParagraph"/>
              <w:ind w:left="252"/>
              <w:jc w:val="both"/>
              <w:rPr>
                <w:rFonts w:asciiTheme="majorHAnsi" w:hAnsiTheme="majorHAnsi"/>
                <w:sz w:val="22"/>
                <w:szCs w:val="22"/>
              </w:rPr>
            </w:pPr>
          </w:p>
          <w:p w14:paraId="4070813C" w14:textId="7DF4A5D6" w:rsidR="00B37690" w:rsidRDefault="00CC73FE" w:rsidP="00B37690">
            <w:pPr>
              <w:pStyle w:val="ListParagraph"/>
              <w:ind w:left="252"/>
              <w:jc w:val="both"/>
              <w:rPr>
                <w:rFonts w:asciiTheme="majorHAnsi" w:hAnsiTheme="majorHAnsi"/>
                <w:b/>
                <w:sz w:val="22"/>
                <w:szCs w:val="22"/>
                <w:u w:val="single"/>
              </w:rPr>
            </w:pPr>
            <w:r w:rsidRPr="00CC73FE">
              <w:rPr>
                <w:rFonts w:asciiTheme="majorHAnsi" w:hAnsiTheme="majorHAnsi"/>
                <w:b/>
                <w:sz w:val="22"/>
                <w:szCs w:val="22"/>
              </w:rPr>
              <w:t>1.</w:t>
            </w:r>
            <w:r w:rsidR="00B37690" w:rsidRPr="00B37690">
              <w:rPr>
                <w:rFonts w:asciiTheme="majorHAnsi" w:hAnsiTheme="majorHAnsi"/>
                <w:color w:val="000099"/>
                <w:sz w:val="22"/>
                <w:szCs w:val="22"/>
              </w:rPr>
              <w:t xml:space="preserve"> </w:t>
            </w:r>
            <w:r>
              <w:rPr>
                <w:rFonts w:asciiTheme="majorHAnsi" w:hAnsiTheme="majorHAnsi"/>
                <w:b/>
                <w:sz w:val="22"/>
                <w:szCs w:val="22"/>
                <w:u w:val="single"/>
              </w:rPr>
              <w:t>S</w:t>
            </w:r>
            <w:r w:rsidR="00CE07AB" w:rsidRPr="00B37690">
              <w:rPr>
                <w:rFonts w:asciiTheme="majorHAnsi" w:hAnsiTheme="majorHAnsi"/>
                <w:b/>
                <w:sz w:val="22"/>
                <w:szCs w:val="22"/>
                <w:u w:val="single"/>
              </w:rPr>
              <w:t>ecuring reserve capacity is the responsibility of the System Operator</w:t>
            </w:r>
            <w:r w:rsidR="00B37690" w:rsidRPr="00B37690">
              <w:rPr>
                <w:rFonts w:asciiTheme="majorHAnsi" w:hAnsiTheme="majorHAnsi"/>
                <w:b/>
                <w:sz w:val="22"/>
                <w:szCs w:val="22"/>
                <w:u w:val="single"/>
              </w:rPr>
              <w:t xml:space="preserve">, not the government. </w:t>
            </w:r>
          </w:p>
          <w:p w14:paraId="18E967DC" w14:textId="77777777" w:rsidR="00B37690" w:rsidRDefault="00B37690" w:rsidP="00B37690">
            <w:pPr>
              <w:pStyle w:val="ListParagraph"/>
              <w:ind w:left="252"/>
              <w:jc w:val="both"/>
              <w:rPr>
                <w:rFonts w:asciiTheme="majorHAnsi" w:hAnsiTheme="majorHAnsi"/>
                <w:b/>
                <w:sz w:val="22"/>
                <w:szCs w:val="22"/>
                <w:u w:val="single"/>
              </w:rPr>
            </w:pPr>
          </w:p>
          <w:p w14:paraId="5F2FCC8A" w14:textId="77777777" w:rsidR="00B37690" w:rsidRDefault="00E3798C" w:rsidP="00B37690">
            <w:pPr>
              <w:pStyle w:val="ListParagraph"/>
              <w:ind w:left="252"/>
              <w:jc w:val="both"/>
              <w:rPr>
                <w:rFonts w:asciiTheme="majorHAnsi" w:hAnsiTheme="majorHAnsi"/>
                <w:color w:val="FF0000"/>
                <w:sz w:val="22"/>
                <w:szCs w:val="22"/>
              </w:rPr>
            </w:pPr>
            <w:r w:rsidRPr="00B37690">
              <w:rPr>
                <w:rFonts w:asciiTheme="majorHAnsi" w:hAnsiTheme="majorHAnsi"/>
                <w:sz w:val="22"/>
                <w:szCs w:val="22"/>
              </w:rPr>
              <w:t xml:space="preserve">In the explanatory note, it was stated that </w:t>
            </w:r>
            <w:r w:rsidR="009A4D35" w:rsidRPr="00B37690">
              <w:rPr>
                <w:rFonts w:asciiTheme="majorHAnsi" w:hAnsiTheme="majorHAnsi"/>
                <w:sz w:val="22"/>
                <w:szCs w:val="22"/>
              </w:rPr>
              <w:t xml:space="preserve">the </w:t>
            </w:r>
            <w:r w:rsidR="009E7DC3" w:rsidRPr="00B37690">
              <w:rPr>
                <w:rFonts w:asciiTheme="majorHAnsi" w:hAnsiTheme="majorHAnsi"/>
                <w:sz w:val="22"/>
                <w:szCs w:val="22"/>
              </w:rPr>
              <w:t>projected</w:t>
            </w:r>
            <w:r w:rsidR="00CE07AB" w:rsidRPr="00B37690">
              <w:rPr>
                <w:rFonts w:asciiTheme="majorHAnsi" w:hAnsiTheme="majorHAnsi"/>
                <w:sz w:val="22"/>
                <w:szCs w:val="22"/>
              </w:rPr>
              <w:t xml:space="preserve"> 700MW</w:t>
            </w:r>
            <w:r w:rsidR="009E7DC3" w:rsidRPr="00B37690">
              <w:rPr>
                <w:rFonts w:asciiTheme="majorHAnsi" w:hAnsiTheme="majorHAnsi"/>
                <w:sz w:val="22"/>
                <w:szCs w:val="22"/>
              </w:rPr>
              <w:t xml:space="preserve"> shortfall of the </w:t>
            </w:r>
            <w:r w:rsidRPr="00B37690">
              <w:rPr>
                <w:rFonts w:asciiTheme="majorHAnsi" w:hAnsiTheme="majorHAnsi"/>
                <w:sz w:val="22"/>
                <w:szCs w:val="22"/>
              </w:rPr>
              <w:t>DOE comprise</w:t>
            </w:r>
            <w:r w:rsidR="009A4D35" w:rsidRPr="00B37690">
              <w:rPr>
                <w:rFonts w:asciiTheme="majorHAnsi" w:hAnsiTheme="majorHAnsi"/>
                <w:sz w:val="22"/>
                <w:szCs w:val="22"/>
              </w:rPr>
              <w:t xml:space="preserve"> of 31MW in generation capacity and 647 MW in reserves</w:t>
            </w:r>
            <w:r w:rsidRPr="00B37690">
              <w:rPr>
                <w:rFonts w:asciiTheme="majorHAnsi" w:hAnsiTheme="majorHAnsi"/>
                <w:sz w:val="22"/>
                <w:szCs w:val="22"/>
              </w:rPr>
              <w:t>.</w:t>
            </w:r>
            <w:r w:rsidR="00CE07AB" w:rsidRPr="00B37690">
              <w:rPr>
                <w:rFonts w:asciiTheme="majorHAnsi" w:hAnsiTheme="majorHAnsi"/>
                <w:sz w:val="22"/>
                <w:szCs w:val="22"/>
              </w:rPr>
              <w:t xml:space="preserve"> As one may conclude, the projected crisis in actuality is </w:t>
            </w:r>
            <w:r w:rsidR="00CE07AB" w:rsidRPr="00B37690">
              <w:rPr>
                <w:rFonts w:asciiTheme="majorHAnsi" w:hAnsiTheme="majorHAnsi"/>
                <w:b/>
                <w:sz w:val="22"/>
                <w:szCs w:val="22"/>
                <w:u w:val="single"/>
              </w:rPr>
              <w:t>a crisis of reserves</w:t>
            </w:r>
            <w:r w:rsidR="00CE07AB" w:rsidRPr="00B37690">
              <w:rPr>
                <w:rFonts w:asciiTheme="majorHAnsi" w:hAnsiTheme="majorHAnsi"/>
                <w:sz w:val="22"/>
                <w:szCs w:val="22"/>
              </w:rPr>
              <w:t xml:space="preserve"> and not of supply, since the 647MW pertain to contingency reserve capacity.</w:t>
            </w:r>
            <w:r w:rsidR="00CE07AB" w:rsidRPr="00B37690">
              <w:rPr>
                <w:rFonts w:asciiTheme="majorHAnsi" w:hAnsiTheme="majorHAnsi"/>
                <w:color w:val="FF0000"/>
                <w:sz w:val="22"/>
                <w:szCs w:val="22"/>
              </w:rPr>
              <w:t xml:space="preserve"> </w:t>
            </w:r>
          </w:p>
          <w:p w14:paraId="2B08F392" w14:textId="77777777" w:rsidR="00B37690" w:rsidRDefault="00B37690" w:rsidP="00B37690">
            <w:pPr>
              <w:pStyle w:val="ListParagraph"/>
              <w:ind w:left="252"/>
              <w:jc w:val="both"/>
              <w:rPr>
                <w:rFonts w:asciiTheme="majorHAnsi" w:hAnsiTheme="majorHAnsi"/>
                <w:color w:val="FF0000"/>
                <w:sz w:val="22"/>
                <w:szCs w:val="22"/>
              </w:rPr>
            </w:pPr>
          </w:p>
          <w:p w14:paraId="2117C0CE" w14:textId="3EC2488D" w:rsidR="00B37690" w:rsidRDefault="003F40EF" w:rsidP="00B37690">
            <w:pPr>
              <w:pStyle w:val="ListParagraph"/>
              <w:ind w:left="252"/>
              <w:jc w:val="both"/>
              <w:rPr>
                <w:rFonts w:asciiTheme="majorHAnsi" w:hAnsiTheme="majorHAnsi"/>
                <w:sz w:val="22"/>
                <w:szCs w:val="22"/>
              </w:rPr>
            </w:pPr>
            <w:r w:rsidRPr="00B37690">
              <w:rPr>
                <w:rFonts w:asciiTheme="majorHAnsi" w:hAnsiTheme="majorHAnsi"/>
                <w:sz w:val="22"/>
                <w:szCs w:val="22"/>
              </w:rPr>
              <w:t>Reserve</w:t>
            </w:r>
            <w:r w:rsidR="00F07B4D" w:rsidRPr="00B37690">
              <w:rPr>
                <w:rFonts w:asciiTheme="majorHAnsi" w:hAnsiTheme="majorHAnsi"/>
                <w:sz w:val="22"/>
                <w:szCs w:val="22"/>
              </w:rPr>
              <w:t xml:space="preserve"> capacities are</w:t>
            </w:r>
            <w:r w:rsidR="00234425" w:rsidRPr="00B37690">
              <w:rPr>
                <w:rFonts w:asciiTheme="majorHAnsi" w:hAnsiTheme="majorHAnsi"/>
                <w:sz w:val="22"/>
                <w:szCs w:val="22"/>
              </w:rPr>
              <w:t xml:space="preserve"> Ancillary Services</w:t>
            </w:r>
            <w:r w:rsidRPr="00B37690">
              <w:rPr>
                <w:rFonts w:asciiTheme="majorHAnsi" w:hAnsiTheme="majorHAnsi"/>
                <w:sz w:val="22"/>
                <w:szCs w:val="22"/>
              </w:rPr>
              <w:t xml:space="preserve"> which in general support the reliable operation of the transmission system as it moves electricity from generating sources to customers. </w:t>
            </w:r>
            <w:r w:rsidR="007949FD" w:rsidRPr="00B37690">
              <w:rPr>
                <w:rFonts w:asciiTheme="majorHAnsi" w:hAnsiTheme="majorHAnsi"/>
                <w:sz w:val="22"/>
                <w:szCs w:val="22"/>
              </w:rPr>
              <w:t xml:space="preserve">This includes </w:t>
            </w:r>
            <w:r w:rsidRPr="00B37690">
              <w:rPr>
                <w:rFonts w:asciiTheme="majorHAnsi" w:hAnsiTheme="majorHAnsi"/>
                <w:sz w:val="22"/>
                <w:szCs w:val="22"/>
              </w:rPr>
              <w:t xml:space="preserve">Regulating Reserve, Contingency Reserve, </w:t>
            </w:r>
            <w:proofErr w:type="spellStart"/>
            <w:r w:rsidRPr="00B37690">
              <w:rPr>
                <w:rFonts w:asciiTheme="majorHAnsi" w:hAnsiTheme="majorHAnsi"/>
                <w:sz w:val="22"/>
                <w:szCs w:val="22"/>
              </w:rPr>
              <w:t>Dispa</w:t>
            </w:r>
            <w:r w:rsidR="007949FD" w:rsidRPr="00B37690">
              <w:rPr>
                <w:rFonts w:asciiTheme="majorHAnsi" w:hAnsiTheme="majorHAnsi"/>
                <w:sz w:val="22"/>
                <w:szCs w:val="22"/>
              </w:rPr>
              <w:t>t</w:t>
            </w:r>
            <w:r w:rsidRPr="00B37690">
              <w:rPr>
                <w:rFonts w:asciiTheme="majorHAnsi" w:hAnsiTheme="majorHAnsi"/>
                <w:sz w:val="22"/>
                <w:szCs w:val="22"/>
              </w:rPr>
              <w:t>chable</w:t>
            </w:r>
            <w:proofErr w:type="spellEnd"/>
            <w:r w:rsidRPr="00B37690">
              <w:rPr>
                <w:rFonts w:asciiTheme="majorHAnsi" w:hAnsiTheme="majorHAnsi"/>
                <w:sz w:val="22"/>
                <w:szCs w:val="22"/>
              </w:rPr>
              <w:t xml:space="preserve"> Reserve, Reactiv</w:t>
            </w:r>
            <w:r w:rsidR="00792836" w:rsidRPr="00B37690">
              <w:rPr>
                <w:rFonts w:asciiTheme="majorHAnsi" w:hAnsiTheme="majorHAnsi"/>
                <w:sz w:val="22"/>
                <w:szCs w:val="22"/>
              </w:rPr>
              <w:t>e Power Support and Black Start Reserves.</w:t>
            </w:r>
            <w:r>
              <w:rPr>
                <w:rStyle w:val="FootnoteReference"/>
                <w:rFonts w:asciiTheme="majorHAnsi" w:hAnsiTheme="majorHAnsi"/>
                <w:sz w:val="22"/>
                <w:szCs w:val="22"/>
              </w:rPr>
              <w:footnoteReference w:id="1"/>
            </w:r>
            <w:r w:rsidR="007949FD" w:rsidRPr="00B37690">
              <w:rPr>
                <w:rFonts w:asciiTheme="majorHAnsi" w:hAnsiTheme="majorHAnsi"/>
                <w:sz w:val="22"/>
                <w:szCs w:val="22"/>
              </w:rPr>
              <w:t xml:space="preserve"> </w:t>
            </w:r>
            <w:r w:rsidR="009E7DC3" w:rsidRPr="00B37690">
              <w:rPr>
                <w:rFonts w:asciiTheme="majorHAnsi" w:hAnsiTheme="majorHAnsi"/>
                <w:sz w:val="22"/>
                <w:szCs w:val="22"/>
              </w:rPr>
              <w:t xml:space="preserve"> Contingency Reserve, in particul</w:t>
            </w:r>
            <w:r w:rsidR="00E3798C" w:rsidRPr="00B37690">
              <w:rPr>
                <w:rFonts w:asciiTheme="majorHAnsi" w:hAnsiTheme="majorHAnsi"/>
                <w:sz w:val="22"/>
                <w:szCs w:val="22"/>
              </w:rPr>
              <w:t>ar, is allocated to cover the loss of the largest synchronized generating unit in the Grid</w:t>
            </w:r>
            <w:r w:rsidR="00BB40D0">
              <w:rPr>
                <w:rFonts w:asciiTheme="majorHAnsi" w:hAnsiTheme="majorHAnsi"/>
                <w:sz w:val="22"/>
                <w:szCs w:val="22"/>
              </w:rPr>
              <w:t>.</w:t>
            </w:r>
            <w:r w:rsidR="00BB40D0">
              <w:rPr>
                <w:rStyle w:val="FootnoteReference"/>
                <w:rFonts w:asciiTheme="majorHAnsi" w:hAnsiTheme="majorHAnsi"/>
                <w:sz w:val="22"/>
                <w:szCs w:val="22"/>
              </w:rPr>
              <w:footnoteReference w:id="2"/>
            </w:r>
          </w:p>
          <w:p w14:paraId="3A76A543" w14:textId="77777777" w:rsidR="00B37690" w:rsidRDefault="00B37690" w:rsidP="00B37690">
            <w:pPr>
              <w:pStyle w:val="ListParagraph"/>
              <w:ind w:left="252"/>
              <w:jc w:val="both"/>
              <w:rPr>
                <w:rFonts w:asciiTheme="majorHAnsi" w:hAnsiTheme="majorHAnsi"/>
                <w:sz w:val="22"/>
                <w:szCs w:val="22"/>
              </w:rPr>
            </w:pPr>
          </w:p>
          <w:p w14:paraId="3C079C7A" w14:textId="77777777" w:rsidR="00B37690" w:rsidRDefault="00D23A09" w:rsidP="00B37690">
            <w:pPr>
              <w:pStyle w:val="ListParagraph"/>
              <w:ind w:left="252"/>
              <w:jc w:val="both"/>
              <w:rPr>
                <w:rFonts w:asciiTheme="majorHAnsi" w:hAnsiTheme="majorHAnsi"/>
                <w:sz w:val="22"/>
                <w:szCs w:val="22"/>
              </w:rPr>
            </w:pPr>
            <w:r w:rsidRPr="00B37690">
              <w:rPr>
                <w:rFonts w:asciiTheme="majorHAnsi" w:hAnsiTheme="majorHAnsi"/>
                <w:sz w:val="22"/>
                <w:szCs w:val="22"/>
              </w:rPr>
              <w:t xml:space="preserve">In the Philippine Grid Code, </w:t>
            </w:r>
            <w:r w:rsidRPr="00B37690">
              <w:rPr>
                <w:rFonts w:asciiTheme="majorHAnsi" w:hAnsiTheme="majorHAnsi"/>
                <w:sz w:val="22"/>
                <w:szCs w:val="22"/>
                <w:u w:val="single"/>
              </w:rPr>
              <w:t xml:space="preserve">securing </w:t>
            </w:r>
            <w:r w:rsidR="008B29B9" w:rsidRPr="00B37690">
              <w:rPr>
                <w:rFonts w:asciiTheme="majorHAnsi" w:hAnsiTheme="majorHAnsi"/>
                <w:sz w:val="22"/>
                <w:szCs w:val="22"/>
                <w:u w:val="single"/>
              </w:rPr>
              <w:t>reserve capacity</w:t>
            </w:r>
            <w:r w:rsidRPr="00B37690">
              <w:rPr>
                <w:rFonts w:asciiTheme="majorHAnsi" w:hAnsiTheme="majorHAnsi"/>
                <w:sz w:val="22"/>
                <w:szCs w:val="22"/>
                <w:u w:val="single"/>
              </w:rPr>
              <w:t xml:space="preserve"> is the responsibility of the System </w:t>
            </w:r>
            <w:r w:rsidRPr="00B37690">
              <w:rPr>
                <w:rFonts w:asciiTheme="majorHAnsi" w:hAnsiTheme="majorHAnsi"/>
                <w:sz w:val="22"/>
                <w:szCs w:val="22"/>
                <w:u w:val="single"/>
              </w:rPr>
              <w:lastRenderedPageBreak/>
              <w:t>Operator, as part of the Grid Ancillary Servic</w:t>
            </w:r>
            <w:r w:rsidR="004D2B89" w:rsidRPr="00B37690">
              <w:rPr>
                <w:rFonts w:asciiTheme="majorHAnsi" w:hAnsiTheme="majorHAnsi"/>
                <w:sz w:val="22"/>
                <w:szCs w:val="22"/>
                <w:u w:val="single"/>
              </w:rPr>
              <w:t>es</w:t>
            </w:r>
            <w:r w:rsidR="009C1456" w:rsidRPr="00CE07AB">
              <w:rPr>
                <w:rStyle w:val="FootnoteReference"/>
                <w:rFonts w:asciiTheme="majorHAnsi" w:hAnsiTheme="majorHAnsi"/>
                <w:sz w:val="22"/>
                <w:szCs w:val="22"/>
                <w:u w:val="single"/>
              </w:rPr>
              <w:footnoteReference w:id="3"/>
            </w:r>
            <w:r w:rsidR="006C4D11" w:rsidRPr="00B37690">
              <w:rPr>
                <w:rFonts w:asciiTheme="majorHAnsi" w:hAnsiTheme="majorHAnsi"/>
                <w:sz w:val="22"/>
                <w:szCs w:val="22"/>
              </w:rPr>
              <w:t xml:space="preserve">. </w:t>
            </w:r>
            <w:r w:rsidR="009C1456" w:rsidRPr="00B37690">
              <w:rPr>
                <w:rFonts w:asciiTheme="majorHAnsi" w:hAnsiTheme="majorHAnsi"/>
                <w:sz w:val="22"/>
                <w:szCs w:val="22"/>
              </w:rPr>
              <w:t xml:space="preserve">As the </w:t>
            </w:r>
            <w:r w:rsidR="00E30F80" w:rsidRPr="00B37690">
              <w:rPr>
                <w:rFonts w:asciiTheme="majorHAnsi" w:hAnsiTheme="majorHAnsi"/>
                <w:sz w:val="22"/>
                <w:szCs w:val="22"/>
              </w:rPr>
              <w:t xml:space="preserve">current </w:t>
            </w:r>
            <w:r w:rsidR="009C1456" w:rsidRPr="00B37690">
              <w:rPr>
                <w:rFonts w:asciiTheme="majorHAnsi" w:hAnsiTheme="majorHAnsi"/>
                <w:sz w:val="22"/>
                <w:szCs w:val="22"/>
              </w:rPr>
              <w:t xml:space="preserve">System Operator, </w:t>
            </w:r>
            <w:r w:rsidR="00E30F80" w:rsidRPr="00B37690">
              <w:rPr>
                <w:rFonts w:asciiTheme="majorHAnsi" w:hAnsiTheme="majorHAnsi"/>
                <w:sz w:val="22"/>
                <w:szCs w:val="22"/>
              </w:rPr>
              <w:t xml:space="preserve">it is </w:t>
            </w:r>
            <w:r w:rsidR="009C1456" w:rsidRPr="00B37690">
              <w:rPr>
                <w:rFonts w:asciiTheme="majorHAnsi" w:hAnsiTheme="majorHAnsi"/>
                <w:sz w:val="22"/>
                <w:szCs w:val="22"/>
              </w:rPr>
              <w:t>the</w:t>
            </w:r>
            <w:r w:rsidR="006D33A4" w:rsidRPr="00B37690">
              <w:rPr>
                <w:rFonts w:asciiTheme="majorHAnsi" w:hAnsiTheme="majorHAnsi"/>
                <w:sz w:val="22"/>
                <w:szCs w:val="22"/>
              </w:rPr>
              <w:t xml:space="preserve"> obligation</w:t>
            </w:r>
            <w:r w:rsidR="009C1456" w:rsidRPr="00B37690">
              <w:rPr>
                <w:rFonts w:asciiTheme="majorHAnsi" w:hAnsiTheme="majorHAnsi"/>
                <w:sz w:val="22"/>
                <w:szCs w:val="22"/>
              </w:rPr>
              <w:t xml:space="preserve"> of the National Grid Corporation of the Philippines </w:t>
            </w:r>
            <w:r w:rsidR="003F40EF" w:rsidRPr="00B37690">
              <w:rPr>
                <w:rFonts w:asciiTheme="majorHAnsi" w:hAnsiTheme="majorHAnsi"/>
                <w:sz w:val="22"/>
                <w:szCs w:val="22"/>
              </w:rPr>
              <w:t>to</w:t>
            </w:r>
            <w:r w:rsidR="004C190B" w:rsidRPr="00B37690">
              <w:rPr>
                <w:rFonts w:asciiTheme="majorHAnsi" w:hAnsiTheme="majorHAnsi"/>
                <w:sz w:val="22"/>
                <w:szCs w:val="22"/>
              </w:rPr>
              <w:t xml:space="preserve"> </w:t>
            </w:r>
            <w:r w:rsidR="00671433" w:rsidRPr="00B37690">
              <w:rPr>
                <w:rFonts w:asciiTheme="majorHAnsi" w:hAnsiTheme="majorHAnsi"/>
                <w:sz w:val="22"/>
                <w:szCs w:val="22"/>
              </w:rPr>
              <w:t xml:space="preserve">contract </w:t>
            </w:r>
            <w:r w:rsidR="00BE4B4D" w:rsidRPr="00B37690">
              <w:rPr>
                <w:rFonts w:asciiTheme="majorHAnsi" w:hAnsiTheme="majorHAnsi"/>
                <w:sz w:val="22"/>
                <w:szCs w:val="22"/>
              </w:rPr>
              <w:t>sufficient reserve</w:t>
            </w:r>
            <w:r w:rsidR="00D737E3" w:rsidRPr="00B37690">
              <w:rPr>
                <w:rFonts w:asciiTheme="majorHAnsi" w:hAnsiTheme="majorHAnsi"/>
                <w:sz w:val="22"/>
                <w:szCs w:val="22"/>
              </w:rPr>
              <w:t xml:space="preserve"> capacities</w:t>
            </w:r>
            <w:r w:rsidR="00E30F80" w:rsidRPr="00B37690">
              <w:rPr>
                <w:rFonts w:asciiTheme="majorHAnsi" w:hAnsiTheme="majorHAnsi"/>
                <w:sz w:val="22"/>
                <w:szCs w:val="22"/>
              </w:rPr>
              <w:t xml:space="preserve"> </w:t>
            </w:r>
            <w:r w:rsidR="003F40EF" w:rsidRPr="00B37690">
              <w:rPr>
                <w:rFonts w:asciiTheme="majorHAnsi" w:hAnsiTheme="majorHAnsi"/>
                <w:sz w:val="22"/>
                <w:szCs w:val="22"/>
              </w:rPr>
              <w:t>to maintain power quality, reliability and security of the Grid</w:t>
            </w:r>
            <w:r w:rsidR="00B37690">
              <w:rPr>
                <w:rStyle w:val="FootnoteReference"/>
                <w:rFonts w:asciiTheme="majorHAnsi" w:hAnsiTheme="majorHAnsi"/>
                <w:sz w:val="22"/>
                <w:szCs w:val="22"/>
              </w:rPr>
              <w:footnoteReference w:id="4"/>
            </w:r>
            <w:r w:rsidR="003F40EF" w:rsidRPr="00B37690">
              <w:rPr>
                <w:rFonts w:asciiTheme="majorHAnsi" w:hAnsiTheme="majorHAnsi"/>
                <w:sz w:val="22"/>
                <w:szCs w:val="22"/>
              </w:rPr>
              <w:t>.</w:t>
            </w:r>
            <w:r w:rsidR="006C4D11" w:rsidRPr="00B37690">
              <w:rPr>
                <w:rFonts w:asciiTheme="majorHAnsi" w:hAnsiTheme="majorHAnsi"/>
                <w:sz w:val="22"/>
                <w:szCs w:val="22"/>
              </w:rPr>
              <w:t xml:space="preserve"> </w:t>
            </w:r>
          </w:p>
          <w:p w14:paraId="36CDA100" w14:textId="77777777" w:rsidR="00B37690" w:rsidRDefault="00B37690" w:rsidP="00B37690">
            <w:pPr>
              <w:pStyle w:val="ListParagraph"/>
              <w:ind w:left="252"/>
              <w:jc w:val="both"/>
              <w:rPr>
                <w:rFonts w:asciiTheme="majorHAnsi" w:hAnsiTheme="majorHAnsi"/>
                <w:sz w:val="22"/>
                <w:szCs w:val="22"/>
              </w:rPr>
            </w:pPr>
          </w:p>
          <w:p w14:paraId="5F46F807" w14:textId="0B0AC253" w:rsidR="006D33A4" w:rsidRPr="00B37690" w:rsidRDefault="004C190B" w:rsidP="00B37690">
            <w:pPr>
              <w:pStyle w:val="ListParagraph"/>
              <w:ind w:left="252"/>
              <w:jc w:val="both"/>
              <w:rPr>
                <w:rFonts w:asciiTheme="majorHAnsi" w:hAnsiTheme="majorHAnsi"/>
                <w:sz w:val="22"/>
                <w:szCs w:val="22"/>
              </w:rPr>
            </w:pPr>
            <w:r w:rsidRPr="00B37690">
              <w:rPr>
                <w:rFonts w:asciiTheme="majorHAnsi" w:hAnsiTheme="majorHAnsi"/>
                <w:sz w:val="22"/>
                <w:szCs w:val="22"/>
              </w:rPr>
              <w:t xml:space="preserve">Needless to state, the thinning of reserves is a matter that should be addressed by </w:t>
            </w:r>
            <w:r w:rsidR="00B37690" w:rsidRPr="00B37690">
              <w:rPr>
                <w:rFonts w:asciiTheme="majorHAnsi" w:hAnsiTheme="majorHAnsi"/>
                <w:sz w:val="22"/>
                <w:szCs w:val="22"/>
              </w:rPr>
              <w:t>NGCP</w:t>
            </w:r>
            <w:r w:rsidRPr="00B37690">
              <w:rPr>
                <w:rFonts w:asciiTheme="majorHAnsi" w:hAnsiTheme="majorHAnsi"/>
                <w:sz w:val="22"/>
                <w:szCs w:val="22"/>
              </w:rPr>
              <w:t xml:space="preserve"> and not by the </w:t>
            </w:r>
            <w:r w:rsidR="00B37690" w:rsidRPr="00B37690">
              <w:rPr>
                <w:rFonts w:asciiTheme="majorHAnsi" w:hAnsiTheme="majorHAnsi"/>
                <w:sz w:val="22"/>
                <w:szCs w:val="22"/>
              </w:rPr>
              <w:t>government of the Philippines</w:t>
            </w:r>
            <w:r w:rsidRPr="00B37690">
              <w:rPr>
                <w:rFonts w:asciiTheme="majorHAnsi" w:hAnsiTheme="majorHAnsi"/>
                <w:sz w:val="22"/>
                <w:szCs w:val="22"/>
              </w:rPr>
              <w:t xml:space="preserve">. </w:t>
            </w:r>
          </w:p>
          <w:p w14:paraId="3A95AD5A" w14:textId="77777777" w:rsidR="006D33A4" w:rsidRPr="006D33A4" w:rsidRDefault="006D33A4" w:rsidP="006D33A4">
            <w:pPr>
              <w:pStyle w:val="ListParagraph"/>
              <w:rPr>
                <w:rFonts w:asciiTheme="majorHAnsi" w:hAnsiTheme="majorHAnsi"/>
                <w:sz w:val="22"/>
                <w:szCs w:val="22"/>
              </w:rPr>
            </w:pPr>
          </w:p>
          <w:p w14:paraId="2D867392" w14:textId="66309BA5" w:rsidR="006E7EDC" w:rsidRDefault="00B37690" w:rsidP="00CC73FE">
            <w:pPr>
              <w:pStyle w:val="ListParagraph"/>
              <w:ind w:left="252"/>
              <w:jc w:val="both"/>
              <w:rPr>
                <w:rFonts w:asciiTheme="majorHAnsi" w:hAnsiTheme="majorHAnsi"/>
                <w:sz w:val="22"/>
                <w:szCs w:val="22"/>
              </w:rPr>
            </w:pPr>
            <w:r w:rsidRPr="006E7EDC">
              <w:rPr>
                <w:rFonts w:asciiTheme="majorHAnsi" w:hAnsiTheme="majorHAnsi"/>
                <w:sz w:val="22"/>
                <w:szCs w:val="22"/>
              </w:rPr>
              <w:t>We suggest conducting further review of the grounds upon which the bill was proposed,</w:t>
            </w:r>
            <w:r w:rsidR="006E7EDC" w:rsidRPr="006E7EDC">
              <w:rPr>
                <w:rFonts w:asciiTheme="majorHAnsi" w:hAnsiTheme="majorHAnsi"/>
                <w:sz w:val="22"/>
                <w:szCs w:val="22"/>
              </w:rPr>
              <w:t xml:space="preserve"> </w:t>
            </w:r>
            <w:r w:rsidR="006E7EDC" w:rsidRPr="006E7EDC">
              <w:rPr>
                <w:rFonts w:asciiTheme="majorHAnsi" w:hAnsiTheme="majorHAnsi"/>
                <w:sz w:val="22"/>
                <w:szCs w:val="22"/>
              </w:rPr>
              <w:lastRenderedPageBreak/>
              <w:t xml:space="preserve">which should include a </w:t>
            </w:r>
            <w:r w:rsidR="006E7EDC">
              <w:rPr>
                <w:rFonts w:asciiTheme="majorHAnsi" w:hAnsiTheme="majorHAnsi"/>
                <w:sz w:val="22"/>
                <w:szCs w:val="22"/>
              </w:rPr>
              <w:t xml:space="preserve">supply/demand </w:t>
            </w:r>
            <w:r w:rsidR="006E7EDC" w:rsidRPr="006E7EDC">
              <w:rPr>
                <w:rFonts w:asciiTheme="majorHAnsi" w:hAnsiTheme="majorHAnsi"/>
                <w:sz w:val="22"/>
                <w:szCs w:val="22"/>
              </w:rPr>
              <w:t>projection</w:t>
            </w:r>
            <w:r w:rsidR="006E7EDC">
              <w:rPr>
                <w:rFonts w:asciiTheme="majorHAnsi" w:hAnsiTheme="majorHAnsi"/>
                <w:sz w:val="22"/>
                <w:szCs w:val="22"/>
              </w:rPr>
              <w:t xml:space="preserve"> from the DOE </w:t>
            </w:r>
            <w:r w:rsidR="006E7EDC" w:rsidRPr="006E7EDC">
              <w:rPr>
                <w:rFonts w:asciiTheme="majorHAnsi" w:hAnsiTheme="majorHAnsi"/>
                <w:sz w:val="22"/>
                <w:szCs w:val="22"/>
              </w:rPr>
              <w:t>with a breakdown on whether the requirement is energy or supply</w:t>
            </w:r>
            <w:r w:rsidR="006E7EDC">
              <w:rPr>
                <w:rFonts w:asciiTheme="majorHAnsi" w:hAnsiTheme="majorHAnsi"/>
                <w:sz w:val="22"/>
                <w:szCs w:val="22"/>
              </w:rPr>
              <w:t xml:space="preserve">. </w:t>
            </w:r>
          </w:p>
          <w:p w14:paraId="2D8B0472" w14:textId="77777777" w:rsidR="00CC73FE" w:rsidRDefault="00CC73FE" w:rsidP="00CC73FE">
            <w:pPr>
              <w:jc w:val="both"/>
              <w:rPr>
                <w:rFonts w:asciiTheme="majorHAnsi" w:hAnsiTheme="majorHAnsi"/>
                <w:sz w:val="22"/>
                <w:szCs w:val="22"/>
              </w:rPr>
            </w:pPr>
          </w:p>
          <w:p w14:paraId="568A37DF" w14:textId="2EF55B58" w:rsidR="00CC73FE" w:rsidRPr="00CC73FE" w:rsidRDefault="00CC73FE" w:rsidP="00CC73FE">
            <w:pPr>
              <w:ind w:left="252"/>
              <w:jc w:val="both"/>
              <w:rPr>
                <w:rFonts w:asciiTheme="majorHAnsi" w:hAnsiTheme="majorHAnsi"/>
                <w:b/>
                <w:sz w:val="22"/>
                <w:szCs w:val="22"/>
              </w:rPr>
            </w:pPr>
            <w:r>
              <w:rPr>
                <w:rFonts w:asciiTheme="majorHAnsi" w:hAnsiTheme="majorHAnsi"/>
                <w:b/>
                <w:sz w:val="22"/>
                <w:szCs w:val="22"/>
              </w:rPr>
              <w:t xml:space="preserve">2. </w:t>
            </w:r>
            <w:r w:rsidRPr="00CC73FE">
              <w:rPr>
                <w:rFonts w:asciiTheme="majorHAnsi" w:hAnsiTheme="majorHAnsi"/>
                <w:b/>
                <w:sz w:val="22"/>
                <w:szCs w:val="22"/>
                <w:u w:val="single"/>
              </w:rPr>
              <w:t>There is already a provision in the EPIRA</w:t>
            </w:r>
            <w:r>
              <w:rPr>
                <w:rStyle w:val="FootnoteReference"/>
                <w:rFonts w:asciiTheme="majorHAnsi" w:hAnsiTheme="majorHAnsi"/>
                <w:b/>
                <w:sz w:val="22"/>
                <w:szCs w:val="22"/>
                <w:u w:val="single"/>
              </w:rPr>
              <w:footnoteReference w:id="5"/>
            </w:r>
            <w:r w:rsidRPr="00CC73FE">
              <w:rPr>
                <w:rFonts w:asciiTheme="majorHAnsi" w:hAnsiTheme="majorHAnsi"/>
                <w:b/>
                <w:sz w:val="22"/>
                <w:szCs w:val="22"/>
                <w:u w:val="single"/>
              </w:rPr>
              <w:t xml:space="preserve"> that </w:t>
            </w:r>
            <w:r>
              <w:rPr>
                <w:rFonts w:asciiTheme="majorHAnsi" w:hAnsiTheme="majorHAnsi"/>
                <w:b/>
                <w:sz w:val="22"/>
                <w:szCs w:val="22"/>
                <w:u w:val="single"/>
              </w:rPr>
              <w:t xml:space="preserve">allows for the establishment of additional generating capacity to </w:t>
            </w:r>
            <w:r w:rsidRPr="00CC73FE">
              <w:rPr>
                <w:rFonts w:asciiTheme="majorHAnsi" w:hAnsiTheme="majorHAnsi"/>
                <w:b/>
                <w:sz w:val="22"/>
                <w:szCs w:val="22"/>
                <w:u w:val="single"/>
              </w:rPr>
              <w:t>address electric power crisis</w:t>
            </w:r>
            <w:r>
              <w:rPr>
                <w:rFonts w:asciiTheme="majorHAnsi" w:hAnsiTheme="majorHAnsi"/>
                <w:b/>
                <w:sz w:val="22"/>
                <w:szCs w:val="22"/>
              </w:rPr>
              <w:t>.</w:t>
            </w:r>
          </w:p>
          <w:p w14:paraId="63676F7F" w14:textId="77777777" w:rsidR="00CC73FE" w:rsidRDefault="00CC73FE" w:rsidP="00CC73FE">
            <w:pPr>
              <w:pStyle w:val="ListParagraph"/>
              <w:ind w:left="252"/>
              <w:jc w:val="both"/>
              <w:rPr>
                <w:rFonts w:asciiTheme="majorHAnsi" w:hAnsiTheme="majorHAnsi"/>
                <w:sz w:val="22"/>
                <w:szCs w:val="22"/>
              </w:rPr>
            </w:pPr>
          </w:p>
          <w:p w14:paraId="4DD3567F" w14:textId="77777777" w:rsidR="00CC73FE" w:rsidRDefault="006E7EDC" w:rsidP="007A7D34">
            <w:pPr>
              <w:pStyle w:val="ListParagraph"/>
              <w:ind w:left="252"/>
              <w:jc w:val="both"/>
              <w:rPr>
                <w:rFonts w:asciiTheme="majorHAnsi" w:hAnsiTheme="majorHAnsi"/>
                <w:sz w:val="22"/>
                <w:szCs w:val="22"/>
              </w:rPr>
            </w:pPr>
            <w:r>
              <w:rPr>
                <w:rFonts w:asciiTheme="majorHAnsi" w:hAnsiTheme="majorHAnsi"/>
                <w:sz w:val="22"/>
                <w:szCs w:val="22"/>
              </w:rPr>
              <w:t xml:space="preserve">The declaration of policy intends to “allow government to undertake necessary interventions during imminent shortage in power supply”. </w:t>
            </w:r>
          </w:p>
          <w:p w14:paraId="7F3A2D3A" w14:textId="77777777" w:rsidR="00CC73FE" w:rsidRDefault="00CC73FE" w:rsidP="00CC73FE">
            <w:pPr>
              <w:pStyle w:val="ListParagraph"/>
              <w:ind w:left="252"/>
              <w:jc w:val="both"/>
              <w:rPr>
                <w:rFonts w:asciiTheme="majorHAnsi" w:hAnsiTheme="majorHAnsi"/>
                <w:sz w:val="22"/>
                <w:szCs w:val="22"/>
              </w:rPr>
            </w:pPr>
          </w:p>
          <w:p w14:paraId="54542A05" w14:textId="68B7085B" w:rsidR="00CC73FE" w:rsidRDefault="002415B2" w:rsidP="00CC73FE">
            <w:pPr>
              <w:pStyle w:val="ListParagraph"/>
              <w:ind w:left="252"/>
              <w:jc w:val="both"/>
              <w:rPr>
                <w:rFonts w:asciiTheme="majorHAnsi" w:hAnsiTheme="majorHAnsi"/>
                <w:sz w:val="22"/>
                <w:szCs w:val="22"/>
              </w:rPr>
            </w:pPr>
            <w:r>
              <w:rPr>
                <w:rFonts w:asciiTheme="majorHAnsi" w:hAnsiTheme="majorHAnsi"/>
                <w:sz w:val="22"/>
                <w:szCs w:val="22"/>
              </w:rPr>
              <w:t>The objective</w:t>
            </w:r>
            <w:r w:rsidR="00CC73FE">
              <w:rPr>
                <w:rFonts w:asciiTheme="majorHAnsi" w:hAnsiTheme="majorHAnsi"/>
                <w:sz w:val="22"/>
                <w:szCs w:val="22"/>
              </w:rPr>
              <w:t xml:space="preserve"> of HB 5305, for all intents and purposes, is identical to Section 71 of the EPIRA which states:</w:t>
            </w:r>
          </w:p>
          <w:p w14:paraId="7AB6167E" w14:textId="77777777" w:rsidR="00CC73FE" w:rsidRDefault="00CC73FE" w:rsidP="00CC73FE">
            <w:pPr>
              <w:pStyle w:val="ListParagraph"/>
              <w:ind w:left="252"/>
              <w:jc w:val="both"/>
              <w:rPr>
                <w:rFonts w:asciiTheme="majorHAnsi" w:hAnsiTheme="majorHAnsi"/>
                <w:sz w:val="22"/>
                <w:szCs w:val="22"/>
              </w:rPr>
            </w:pPr>
          </w:p>
          <w:p w14:paraId="62CF86A7" w14:textId="71BE5CA7" w:rsidR="00CC73FE" w:rsidRDefault="00CC73FE" w:rsidP="00CC73FE">
            <w:pPr>
              <w:pStyle w:val="ListParagraph"/>
              <w:ind w:left="432" w:right="249"/>
              <w:jc w:val="both"/>
              <w:rPr>
                <w:rFonts w:asciiTheme="majorHAnsi" w:hAnsiTheme="majorHAnsi"/>
                <w:sz w:val="22"/>
                <w:szCs w:val="22"/>
              </w:rPr>
            </w:pPr>
            <w:r>
              <w:rPr>
                <w:rFonts w:asciiTheme="majorHAnsi" w:hAnsiTheme="majorHAnsi"/>
                <w:sz w:val="22"/>
                <w:szCs w:val="22"/>
              </w:rPr>
              <w:t xml:space="preserve">“Upon the determination by the President of the Philippines of an imminent shortage of the supply of electricity, the Congress may authorize, through a joint resolution, the establishment of additional generating </w:t>
            </w:r>
            <w:r>
              <w:rPr>
                <w:rFonts w:asciiTheme="majorHAnsi" w:hAnsiTheme="majorHAnsi"/>
                <w:sz w:val="22"/>
                <w:szCs w:val="22"/>
              </w:rPr>
              <w:lastRenderedPageBreak/>
              <w:t>capacity under such terms and conditions are it may approve.”</w:t>
            </w:r>
            <w:r>
              <w:rPr>
                <w:rStyle w:val="FootnoteReference"/>
                <w:rFonts w:asciiTheme="majorHAnsi" w:hAnsiTheme="majorHAnsi"/>
                <w:sz w:val="22"/>
                <w:szCs w:val="22"/>
              </w:rPr>
              <w:t xml:space="preserve"> </w:t>
            </w:r>
            <w:r>
              <w:rPr>
                <w:rStyle w:val="FootnoteReference"/>
                <w:rFonts w:asciiTheme="majorHAnsi" w:hAnsiTheme="majorHAnsi"/>
                <w:sz w:val="22"/>
                <w:szCs w:val="22"/>
              </w:rPr>
              <w:footnoteReference w:id="6"/>
            </w:r>
          </w:p>
          <w:p w14:paraId="0C8F18A5" w14:textId="77777777" w:rsidR="007A7D34" w:rsidRDefault="007A7D34" w:rsidP="00CC73FE">
            <w:pPr>
              <w:pStyle w:val="ListParagraph"/>
              <w:ind w:left="432" w:right="249"/>
              <w:jc w:val="both"/>
              <w:rPr>
                <w:rFonts w:asciiTheme="majorHAnsi" w:hAnsiTheme="majorHAnsi"/>
                <w:sz w:val="22"/>
                <w:szCs w:val="22"/>
              </w:rPr>
            </w:pPr>
          </w:p>
          <w:p w14:paraId="2B531687" w14:textId="59F9BDCE" w:rsidR="00803C28" w:rsidRDefault="007E594F" w:rsidP="00A27873">
            <w:pPr>
              <w:pStyle w:val="ListParagraph"/>
              <w:ind w:left="252"/>
              <w:jc w:val="both"/>
              <w:rPr>
                <w:rFonts w:asciiTheme="majorHAnsi" w:hAnsiTheme="majorHAnsi"/>
                <w:sz w:val="22"/>
                <w:szCs w:val="22"/>
              </w:rPr>
            </w:pPr>
            <w:r>
              <w:rPr>
                <w:rFonts w:asciiTheme="majorHAnsi" w:hAnsiTheme="majorHAnsi"/>
                <w:sz w:val="22"/>
                <w:szCs w:val="22"/>
              </w:rPr>
              <w:t xml:space="preserve">While we support the efforts of the author of HB5305 to promote energy sufficiency in the country, </w:t>
            </w:r>
            <w:r w:rsidRPr="007A7D34">
              <w:rPr>
                <w:rFonts w:asciiTheme="majorHAnsi" w:hAnsiTheme="majorHAnsi"/>
                <w:sz w:val="22"/>
                <w:szCs w:val="22"/>
                <w:u w:val="single"/>
              </w:rPr>
              <w:t>p</w:t>
            </w:r>
            <w:r w:rsidR="009D396D" w:rsidRPr="007A7D34">
              <w:rPr>
                <w:rFonts w:asciiTheme="majorHAnsi" w:hAnsiTheme="majorHAnsi"/>
                <w:sz w:val="22"/>
                <w:szCs w:val="22"/>
                <w:u w:val="single"/>
              </w:rPr>
              <w:t>assing a</w:t>
            </w:r>
            <w:r w:rsidR="00A27873" w:rsidRPr="007A7D34">
              <w:rPr>
                <w:rFonts w:asciiTheme="majorHAnsi" w:hAnsiTheme="majorHAnsi"/>
                <w:sz w:val="22"/>
                <w:szCs w:val="22"/>
                <w:u w:val="single"/>
              </w:rPr>
              <w:t>n identical</w:t>
            </w:r>
            <w:r w:rsidR="009D396D" w:rsidRPr="007A7D34">
              <w:rPr>
                <w:rFonts w:asciiTheme="majorHAnsi" w:hAnsiTheme="majorHAnsi"/>
                <w:sz w:val="22"/>
                <w:szCs w:val="22"/>
                <w:u w:val="single"/>
              </w:rPr>
              <w:t xml:space="preserve"> law is </w:t>
            </w:r>
            <w:r w:rsidR="00A27873" w:rsidRPr="007A7D34">
              <w:rPr>
                <w:rFonts w:asciiTheme="majorHAnsi" w:hAnsiTheme="majorHAnsi"/>
                <w:sz w:val="22"/>
                <w:szCs w:val="22"/>
                <w:u w:val="single"/>
              </w:rPr>
              <w:t>not necessary.</w:t>
            </w:r>
            <w:r w:rsidR="00A27873">
              <w:rPr>
                <w:rFonts w:asciiTheme="majorHAnsi" w:hAnsiTheme="majorHAnsi"/>
                <w:sz w:val="22"/>
                <w:szCs w:val="22"/>
              </w:rPr>
              <w:t xml:space="preserve"> </w:t>
            </w:r>
          </w:p>
          <w:p w14:paraId="5CF35EAD" w14:textId="77777777" w:rsidR="00A27873" w:rsidRDefault="00A27873" w:rsidP="00A27873">
            <w:pPr>
              <w:pStyle w:val="ListParagraph"/>
              <w:ind w:left="252"/>
              <w:jc w:val="both"/>
              <w:rPr>
                <w:rFonts w:asciiTheme="majorHAnsi" w:hAnsiTheme="majorHAnsi"/>
                <w:sz w:val="22"/>
                <w:szCs w:val="22"/>
              </w:rPr>
            </w:pPr>
          </w:p>
          <w:p w14:paraId="3A8351AE" w14:textId="77777777" w:rsidR="00A27873" w:rsidRDefault="00A27873" w:rsidP="00A27873">
            <w:pPr>
              <w:ind w:left="72"/>
              <w:jc w:val="both"/>
              <w:rPr>
                <w:rFonts w:asciiTheme="majorHAnsi" w:hAnsiTheme="majorHAnsi"/>
                <w:b/>
                <w:sz w:val="22"/>
                <w:szCs w:val="22"/>
              </w:rPr>
            </w:pPr>
            <w:r w:rsidRPr="00A27873">
              <w:rPr>
                <w:rFonts w:asciiTheme="majorHAnsi" w:hAnsiTheme="majorHAnsi"/>
                <w:b/>
                <w:sz w:val="22"/>
                <w:szCs w:val="22"/>
              </w:rPr>
              <w:t xml:space="preserve">3. </w:t>
            </w:r>
            <w:r w:rsidRPr="00A27873">
              <w:rPr>
                <w:rFonts w:asciiTheme="majorHAnsi" w:hAnsiTheme="majorHAnsi"/>
                <w:b/>
                <w:sz w:val="22"/>
                <w:szCs w:val="22"/>
                <w:u w:val="single"/>
              </w:rPr>
              <w:t>Shortage in supply can be short term such as those caused by disturbances in the power system due to outages of generating units, transmission lines and transformers</w:t>
            </w:r>
            <w:r w:rsidRPr="00A27873">
              <w:rPr>
                <w:rFonts w:asciiTheme="majorHAnsi" w:hAnsiTheme="majorHAnsi"/>
                <w:b/>
                <w:sz w:val="22"/>
                <w:szCs w:val="22"/>
                <w:u w:val="single"/>
                <w:vertAlign w:val="superscript"/>
              </w:rPr>
              <w:footnoteReference w:id="7"/>
            </w:r>
            <w:r w:rsidRPr="00A27873">
              <w:rPr>
                <w:rFonts w:asciiTheme="majorHAnsi" w:hAnsiTheme="majorHAnsi"/>
                <w:b/>
                <w:sz w:val="22"/>
                <w:szCs w:val="22"/>
                <w:u w:val="single"/>
              </w:rPr>
              <w:t>.</w:t>
            </w:r>
          </w:p>
          <w:p w14:paraId="5AE157E0" w14:textId="77777777" w:rsidR="00A27873" w:rsidRDefault="00A27873" w:rsidP="00A27873">
            <w:pPr>
              <w:ind w:left="72"/>
              <w:jc w:val="both"/>
              <w:rPr>
                <w:rFonts w:asciiTheme="majorHAnsi" w:hAnsiTheme="majorHAnsi"/>
                <w:b/>
                <w:sz w:val="22"/>
                <w:szCs w:val="22"/>
              </w:rPr>
            </w:pPr>
          </w:p>
          <w:p w14:paraId="40230054" w14:textId="77777777" w:rsidR="0076470F" w:rsidRDefault="0076470F" w:rsidP="00A27873">
            <w:pPr>
              <w:ind w:left="360"/>
              <w:jc w:val="both"/>
              <w:rPr>
                <w:rFonts w:asciiTheme="majorHAnsi" w:hAnsiTheme="majorHAnsi"/>
                <w:sz w:val="22"/>
                <w:szCs w:val="22"/>
              </w:rPr>
            </w:pPr>
            <w:r w:rsidRPr="0076470F">
              <w:rPr>
                <w:rFonts w:asciiTheme="majorHAnsi" w:hAnsiTheme="majorHAnsi"/>
                <w:sz w:val="22"/>
                <w:szCs w:val="22"/>
              </w:rPr>
              <w:t>Considering time and capital needed to put up, operate and maintain a power generating plant, the focus must be on how to timely attract, secure and protect needed investments in the generation sector.  With the growing demand for electricity, a competitive generation sector may yield long-term benefits that will redound to the welfare of consumers.</w:t>
            </w:r>
          </w:p>
          <w:p w14:paraId="6D0B7DE0" w14:textId="77777777" w:rsidR="0076470F" w:rsidRDefault="0076470F" w:rsidP="00A27873">
            <w:pPr>
              <w:ind w:left="360"/>
              <w:jc w:val="both"/>
              <w:rPr>
                <w:rFonts w:asciiTheme="majorHAnsi" w:hAnsiTheme="majorHAnsi"/>
                <w:sz w:val="22"/>
                <w:szCs w:val="22"/>
              </w:rPr>
            </w:pPr>
          </w:p>
          <w:p w14:paraId="6CE8DF87" w14:textId="77777777" w:rsidR="0076470F" w:rsidRDefault="0076470F" w:rsidP="0076470F">
            <w:pPr>
              <w:ind w:left="360"/>
              <w:jc w:val="both"/>
              <w:rPr>
                <w:rFonts w:asciiTheme="majorHAnsi" w:hAnsiTheme="majorHAnsi"/>
                <w:sz w:val="22"/>
                <w:szCs w:val="22"/>
              </w:rPr>
            </w:pPr>
            <w:r w:rsidRPr="00A27873">
              <w:rPr>
                <w:rFonts w:asciiTheme="majorHAnsi" w:hAnsiTheme="majorHAnsi"/>
                <w:sz w:val="22"/>
                <w:szCs w:val="22"/>
              </w:rPr>
              <w:t xml:space="preserve">Rather than purchasing generating units </w:t>
            </w:r>
            <w:r w:rsidRPr="00A27873">
              <w:rPr>
                <w:rFonts w:asciiTheme="majorHAnsi" w:hAnsiTheme="majorHAnsi"/>
                <w:sz w:val="22"/>
                <w:szCs w:val="22"/>
              </w:rPr>
              <w:lastRenderedPageBreak/>
              <w:t>itself, government should adopt policy that encourages private sector to use its capital and knowledge to build new plants.</w:t>
            </w:r>
          </w:p>
          <w:p w14:paraId="666996CE" w14:textId="3CD42020" w:rsidR="00A27873" w:rsidRPr="00A27873" w:rsidRDefault="00A27873" w:rsidP="00A27873">
            <w:pPr>
              <w:ind w:left="360"/>
              <w:jc w:val="both"/>
              <w:rPr>
                <w:rFonts w:asciiTheme="majorHAnsi" w:hAnsiTheme="majorHAnsi"/>
                <w:sz w:val="22"/>
                <w:szCs w:val="22"/>
              </w:rPr>
            </w:pPr>
          </w:p>
        </w:tc>
      </w:tr>
      <w:tr w:rsidR="00FA1CEA" w:rsidRPr="00C14B3A" w14:paraId="18C90061" w14:textId="77777777" w:rsidTr="004D4782">
        <w:trPr>
          <w:jc w:val="center"/>
        </w:trPr>
        <w:tc>
          <w:tcPr>
            <w:tcW w:w="4784" w:type="dxa"/>
          </w:tcPr>
          <w:p w14:paraId="23B98B41" w14:textId="2D94149B" w:rsidR="00FA1CEA" w:rsidRPr="008B29B9" w:rsidRDefault="008B29B9" w:rsidP="008B29B9">
            <w:pPr>
              <w:jc w:val="both"/>
              <w:rPr>
                <w:rFonts w:asciiTheme="majorHAnsi" w:hAnsiTheme="majorHAnsi"/>
                <w:i/>
                <w:sz w:val="22"/>
                <w:szCs w:val="22"/>
              </w:rPr>
            </w:pPr>
            <w:r>
              <w:rPr>
                <w:rFonts w:asciiTheme="majorHAnsi" w:hAnsiTheme="majorHAnsi"/>
                <w:b/>
                <w:sz w:val="22"/>
                <w:szCs w:val="22"/>
              </w:rPr>
              <w:lastRenderedPageBreak/>
              <w:t>Sec. 3. Purchase of Modular Generator Sets (</w:t>
            </w:r>
            <w:proofErr w:type="spellStart"/>
            <w:r>
              <w:rPr>
                <w:rFonts w:asciiTheme="majorHAnsi" w:hAnsiTheme="majorHAnsi"/>
                <w:b/>
                <w:sz w:val="22"/>
                <w:szCs w:val="22"/>
              </w:rPr>
              <w:t>GenSets</w:t>
            </w:r>
            <w:proofErr w:type="spellEnd"/>
            <w:r>
              <w:rPr>
                <w:rFonts w:asciiTheme="majorHAnsi" w:hAnsiTheme="majorHAnsi"/>
                <w:b/>
                <w:sz w:val="22"/>
                <w:szCs w:val="22"/>
              </w:rPr>
              <w:t xml:space="preserve">). </w:t>
            </w:r>
            <w:r>
              <w:rPr>
                <w:rFonts w:asciiTheme="majorHAnsi" w:hAnsiTheme="majorHAnsi"/>
                <w:sz w:val="22"/>
                <w:szCs w:val="22"/>
              </w:rPr>
              <w:t>– The Department of Energy (DOE), through the Power Sector Assets and Liabilities Management Corporation (PSALM) , is mandated to negotiate contracts for the purchase of additional generating capacity equivalent to at least 1,000 megawatts t</w:t>
            </w:r>
            <w:r w:rsidR="00DF04D7">
              <w:rPr>
                <w:rFonts w:asciiTheme="majorHAnsi" w:hAnsiTheme="majorHAnsi"/>
                <w:sz w:val="22"/>
                <w:szCs w:val="22"/>
              </w:rPr>
              <w:t>o cover p</w:t>
            </w:r>
            <w:r>
              <w:rPr>
                <w:rFonts w:asciiTheme="majorHAnsi" w:hAnsiTheme="majorHAnsi"/>
                <w:sz w:val="22"/>
                <w:szCs w:val="22"/>
              </w:rPr>
              <w:t>ossible shortages in power supply and/or reserves and forced outages and maintenance of existing power plants;</w:t>
            </w:r>
            <w:r w:rsidR="00AF63FA">
              <w:rPr>
                <w:rFonts w:asciiTheme="majorHAnsi" w:hAnsiTheme="majorHAnsi"/>
                <w:sz w:val="22"/>
                <w:szCs w:val="22"/>
              </w:rPr>
              <w:t xml:space="preserve"> xxx</w:t>
            </w:r>
            <w:r>
              <w:rPr>
                <w:rFonts w:asciiTheme="majorHAnsi" w:hAnsiTheme="majorHAnsi"/>
                <w:sz w:val="22"/>
                <w:szCs w:val="22"/>
              </w:rPr>
              <w:t xml:space="preserve"> </w:t>
            </w:r>
          </w:p>
        </w:tc>
        <w:tc>
          <w:tcPr>
            <w:tcW w:w="4473" w:type="dxa"/>
          </w:tcPr>
          <w:p w14:paraId="1C80844A" w14:textId="6D4D3D5B" w:rsidR="001C68B0" w:rsidRPr="00C14B3A" w:rsidRDefault="001C68B0" w:rsidP="008B29B9">
            <w:pPr>
              <w:rPr>
                <w:rFonts w:asciiTheme="majorHAnsi" w:hAnsiTheme="majorHAnsi"/>
                <w:i/>
                <w:sz w:val="22"/>
                <w:szCs w:val="22"/>
              </w:rPr>
            </w:pPr>
          </w:p>
          <w:p w14:paraId="095FC674" w14:textId="47C912BD" w:rsidR="001C68B0" w:rsidRPr="00C14B3A" w:rsidRDefault="00A27873" w:rsidP="009F346B">
            <w:pPr>
              <w:jc w:val="both"/>
              <w:rPr>
                <w:rFonts w:asciiTheme="majorHAnsi" w:hAnsiTheme="majorHAnsi"/>
                <w:sz w:val="22"/>
                <w:szCs w:val="22"/>
              </w:rPr>
            </w:pPr>
            <w:r>
              <w:rPr>
                <w:rFonts w:asciiTheme="majorHAnsi" w:hAnsiTheme="majorHAnsi"/>
                <w:sz w:val="22"/>
                <w:szCs w:val="22"/>
              </w:rPr>
              <w:t>same</w:t>
            </w:r>
          </w:p>
        </w:tc>
        <w:tc>
          <w:tcPr>
            <w:tcW w:w="4497" w:type="dxa"/>
          </w:tcPr>
          <w:p w14:paraId="5830C17C" w14:textId="77777777" w:rsidR="00BB40D0" w:rsidRPr="00BB40D0" w:rsidRDefault="007E594F" w:rsidP="001D1D56">
            <w:pPr>
              <w:pStyle w:val="ListParagraph"/>
              <w:numPr>
                <w:ilvl w:val="0"/>
                <w:numId w:val="14"/>
              </w:numPr>
              <w:ind w:left="252" w:hanging="180"/>
              <w:jc w:val="both"/>
              <w:rPr>
                <w:rFonts w:asciiTheme="majorHAnsi" w:hAnsiTheme="majorHAnsi"/>
                <w:sz w:val="22"/>
                <w:szCs w:val="22"/>
              </w:rPr>
            </w:pPr>
            <w:r w:rsidRPr="00565522">
              <w:rPr>
                <w:rFonts w:asciiTheme="majorHAnsi" w:hAnsiTheme="majorHAnsi"/>
                <w:sz w:val="22"/>
                <w:szCs w:val="22"/>
              </w:rPr>
              <w:t>The purchase of</w:t>
            </w:r>
            <w:r w:rsidR="00442C02" w:rsidRPr="00565522">
              <w:rPr>
                <w:rFonts w:asciiTheme="majorHAnsi" w:hAnsiTheme="majorHAnsi"/>
                <w:sz w:val="22"/>
                <w:szCs w:val="22"/>
              </w:rPr>
              <w:t xml:space="preserve"> at least 1,000MW</w:t>
            </w:r>
            <w:r w:rsidRPr="00565522">
              <w:rPr>
                <w:rFonts w:asciiTheme="majorHAnsi" w:hAnsiTheme="majorHAnsi"/>
                <w:sz w:val="22"/>
                <w:szCs w:val="22"/>
              </w:rPr>
              <w:t xml:space="preserve"> modular generator sets is contrary to the </w:t>
            </w:r>
            <w:r w:rsidR="00442C02" w:rsidRPr="00565522">
              <w:rPr>
                <w:rFonts w:asciiTheme="majorHAnsi" w:hAnsiTheme="majorHAnsi"/>
                <w:sz w:val="22"/>
                <w:szCs w:val="22"/>
              </w:rPr>
              <w:t>objectives of the EPIRA to restructure the electric power industry through the privatization of the assets of the National Power Corporation</w:t>
            </w:r>
            <w:r w:rsidR="00442C02">
              <w:rPr>
                <w:rStyle w:val="FootnoteReference"/>
                <w:rFonts w:asciiTheme="majorHAnsi" w:hAnsiTheme="majorHAnsi"/>
                <w:sz w:val="22"/>
                <w:szCs w:val="22"/>
              </w:rPr>
              <w:footnoteReference w:id="8"/>
            </w:r>
            <w:r w:rsidR="00442C02" w:rsidRPr="00565522">
              <w:rPr>
                <w:rFonts w:asciiTheme="majorHAnsi" w:hAnsiTheme="majorHAnsi"/>
                <w:sz w:val="22"/>
                <w:szCs w:val="22"/>
              </w:rPr>
              <w:t xml:space="preserve"> and to enhance the inflow of private capital and broaden the ownership base of the power generation</w:t>
            </w:r>
            <w:r w:rsidR="00442C02">
              <w:rPr>
                <w:rStyle w:val="FootnoteReference"/>
                <w:rFonts w:asciiTheme="majorHAnsi" w:hAnsiTheme="majorHAnsi"/>
                <w:sz w:val="22"/>
                <w:szCs w:val="22"/>
              </w:rPr>
              <w:footnoteReference w:id="9"/>
            </w:r>
            <w:r w:rsidR="00442C02" w:rsidRPr="00565522">
              <w:rPr>
                <w:rFonts w:asciiTheme="majorHAnsi" w:hAnsiTheme="majorHAnsi"/>
                <w:sz w:val="22"/>
                <w:szCs w:val="22"/>
              </w:rPr>
              <w:t>.</w:t>
            </w:r>
            <w:r w:rsidR="00AF63FA">
              <w:rPr>
                <w:rFonts w:asciiTheme="majorHAnsi" w:hAnsiTheme="majorHAnsi"/>
                <w:sz w:val="22"/>
                <w:szCs w:val="22"/>
              </w:rPr>
              <w:t xml:space="preserve"> </w:t>
            </w:r>
            <w:r w:rsidR="00BB40D0" w:rsidRPr="00BB40D0">
              <w:rPr>
                <w:rFonts w:asciiTheme="majorHAnsi" w:hAnsiTheme="majorHAnsi"/>
                <w:sz w:val="22"/>
                <w:szCs w:val="22"/>
              </w:rPr>
              <w:t>The existing safeguards in the EPIRA are sufficient and sound policies, which must not be disturbed overnight without much thought and deliberation. Impact on the entire power industry must also be carefully considered, as well as any effect on the power supply needs of the country and the welfare of consumers.</w:t>
            </w:r>
          </w:p>
          <w:p w14:paraId="75B8D461" w14:textId="77777777" w:rsidR="00442C02" w:rsidRDefault="00442C02" w:rsidP="004C190B">
            <w:pPr>
              <w:jc w:val="both"/>
              <w:rPr>
                <w:rFonts w:asciiTheme="majorHAnsi" w:hAnsiTheme="majorHAnsi"/>
                <w:sz w:val="22"/>
                <w:szCs w:val="22"/>
              </w:rPr>
            </w:pPr>
          </w:p>
          <w:p w14:paraId="25429469" w14:textId="77777777" w:rsidR="00565522" w:rsidRDefault="00363629" w:rsidP="004C190B">
            <w:pPr>
              <w:pStyle w:val="ListParagraph"/>
              <w:numPr>
                <w:ilvl w:val="0"/>
                <w:numId w:val="14"/>
              </w:numPr>
              <w:ind w:left="252" w:hanging="180"/>
              <w:jc w:val="both"/>
              <w:rPr>
                <w:rFonts w:asciiTheme="majorHAnsi" w:hAnsiTheme="majorHAnsi"/>
                <w:sz w:val="22"/>
                <w:szCs w:val="22"/>
              </w:rPr>
            </w:pPr>
            <w:r>
              <w:rPr>
                <w:rFonts w:asciiTheme="majorHAnsi" w:hAnsiTheme="majorHAnsi"/>
                <w:sz w:val="22"/>
                <w:szCs w:val="22"/>
              </w:rPr>
              <w:t>M</w:t>
            </w:r>
            <w:r w:rsidR="007E594F">
              <w:rPr>
                <w:rFonts w:asciiTheme="majorHAnsi" w:hAnsiTheme="majorHAnsi"/>
                <w:sz w:val="22"/>
                <w:szCs w:val="22"/>
              </w:rPr>
              <w:t>andating the DOE and the PSALM to negotiate contracts for the purchase of additional generating capacity</w:t>
            </w:r>
            <w:r>
              <w:rPr>
                <w:rFonts w:asciiTheme="majorHAnsi" w:hAnsiTheme="majorHAnsi"/>
                <w:sz w:val="22"/>
                <w:szCs w:val="22"/>
              </w:rPr>
              <w:t xml:space="preserve"> is also </w:t>
            </w:r>
            <w:r>
              <w:rPr>
                <w:rFonts w:asciiTheme="majorHAnsi" w:hAnsiTheme="majorHAnsi"/>
                <w:sz w:val="22"/>
                <w:szCs w:val="22"/>
              </w:rPr>
              <w:lastRenderedPageBreak/>
              <w:t xml:space="preserve">contrary to the powers granted to both government instrumentalities under the EPIRA. </w:t>
            </w:r>
          </w:p>
          <w:p w14:paraId="04E9FBFF" w14:textId="77777777" w:rsidR="00565522" w:rsidRDefault="00565522" w:rsidP="00565522">
            <w:pPr>
              <w:pStyle w:val="ListParagraph"/>
              <w:ind w:left="252"/>
              <w:jc w:val="both"/>
              <w:rPr>
                <w:rFonts w:asciiTheme="majorHAnsi" w:hAnsiTheme="majorHAnsi"/>
                <w:sz w:val="22"/>
                <w:szCs w:val="22"/>
              </w:rPr>
            </w:pPr>
          </w:p>
          <w:p w14:paraId="6A3FFFFB" w14:textId="38B9B94C" w:rsidR="00565522" w:rsidRDefault="00F84E7F" w:rsidP="00565522">
            <w:pPr>
              <w:pStyle w:val="ListParagraph"/>
              <w:ind w:left="252"/>
              <w:jc w:val="both"/>
              <w:rPr>
                <w:rFonts w:asciiTheme="majorHAnsi" w:hAnsiTheme="majorHAnsi"/>
                <w:sz w:val="22"/>
                <w:szCs w:val="22"/>
              </w:rPr>
            </w:pPr>
            <w:r w:rsidRPr="00565522">
              <w:rPr>
                <w:rFonts w:asciiTheme="majorHAnsi" w:hAnsiTheme="majorHAnsi"/>
                <w:sz w:val="22"/>
                <w:szCs w:val="22"/>
              </w:rPr>
              <w:t>PSALM was created with the principal purpose of managing “the orderly sale, disposition, and privatization of NPC generation assets, real estate and other disposable assets, and IPP contracts with the objective of liquidating all NPC financial obligations and stranded contract costs in an optimal manner</w:t>
            </w:r>
            <w:r>
              <w:rPr>
                <w:rStyle w:val="FootnoteReference"/>
                <w:rFonts w:asciiTheme="majorHAnsi" w:hAnsiTheme="majorHAnsi"/>
                <w:sz w:val="22"/>
                <w:szCs w:val="22"/>
              </w:rPr>
              <w:footnoteReference w:id="10"/>
            </w:r>
            <w:r w:rsidRPr="00565522">
              <w:rPr>
                <w:rFonts w:asciiTheme="majorHAnsi" w:hAnsiTheme="majorHAnsi"/>
                <w:sz w:val="22"/>
                <w:szCs w:val="22"/>
              </w:rPr>
              <w:t>”</w:t>
            </w:r>
            <w:r w:rsidR="00227483">
              <w:rPr>
                <w:rFonts w:asciiTheme="majorHAnsi" w:hAnsiTheme="majorHAnsi"/>
                <w:sz w:val="22"/>
                <w:szCs w:val="22"/>
              </w:rPr>
              <w:t>.</w:t>
            </w:r>
          </w:p>
          <w:p w14:paraId="6A327FF3" w14:textId="77777777" w:rsidR="00565522" w:rsidRDefault="00565522" w:rsidP="00565522">
            <w:pPr>
              <w:pStyle w:val="ListParagraph"/>
              <w:ind w:left="252"/>
              <w:jc w:val="both"/>
              <w:rPr>
                <w:rFonts w:asciiTheme="majorHAnsi" w:hAnsiTheme="majorHAnsi"/>
                <w:sz w:val="22"/>
                <w:szCs w:val="22"/>
              </w:rPr>
            </w:pPr>
          </w:p>
          <w:p w14:paraId="15A5208C" w14:textId="249BC6EF" w:rsidR="00227483" w:rsidRDefault="00F84E7F" w:rsidP="00227483">
            <w:pPr>
              <w:pStyle w:val="ListParagraph"/>
              <w:ind w:left="252"/>
              <w:jc w:val="both"/>
              <w:rPr>
                <w:rFonts w:asciiTheme="majorHAnsi" w:hAnsiTheme="majorHAnsi"/>
                <w:sz w:val="22"/>
                <w:szCs w:val="22"/>
              </w:rPr>
            </w:pPr>
            <w:r>
              <w:rPr>
                <w:rFonts w:asciiTheme="majorHAnsi" w:hAnsiTheme="majorHAnsi"/>
                <w:sz w:val="22"/>
                <w:szCs w:val="22"/>
              </w:rPr>
              <w:t>The DOE, on the other hand, was “mandated to supervise the restructuring of the electricity industry</w:t>
            </w:r>
            <w:r>
              <w:rPr>
                <w:rStyle w:val="FootnoteReference"/>
                <w:rFonts w:asciiTheme="majorHAnsi" w:hAnsiTheme="majorHAnsi"/>
                <w:sz w:val="22"/>
                <w:szCs w:val="22"/>
              </w:rPr>
              <w:footnoteReference w:id="11"/>
            </w:r>
            <w:r>
              <w:rPr>
                <w:rFonts w:asciiTheme="majorHAnsi" w:hAnsiTheme="majorHAnsi"/>
                <w:sz w:val="22"/>
                <w:szCs w:val="22"/>
              </w:rPr>
              <w:t>” and “encourage private sector investments in the electricity sector</w:t>
            </w:r>
            <w:r>
              <w:rPr>
                <w:rStyle w:val="FootnoteReference"/>
                <w:rFonts w:asciiTheme="majorHAnsi" w:hAnsiTheme="majorHAnsi"/>
                <w:sz w:val="22"/>
                <w:szCs w:val="22"/>
              </w:rPr>
              <w:footnoteReference w:id="12"/>
            </w:r>
            <w:r>
              <w:rPr>
                <w:rFonts w:asciiTheme="majorHAnsi" w:hAnsiTheme="majorHAnsi"/>
                <w:sz w:val="22"/>
                <w:szCs w:val="22"/>
              </w:rPr>
              <w:t>”.</w:t>
            </w:r>
          </w:p>
          <w:p w14:paraId="6453D5A8" w14:textId="77777777" w:rsidR="00AF63FA" w:rsidRDefault="00AF63FA" w:rsidP="00227483">
            <w:pPr>
              <w:pStyle w:val="ListParagraph"/>
              <w:ind w:left="252"/>
              <w:jc w:val="both"/>
              <w:rPr>
                <w:rFonts w:asciiTheme="majorHAnsi" w:hAnsiTheme="majorHAnsi"/>
                <w:sz w:val="22"/>
                <w:szCs w:val="22"/>
              </w:rPr>
            </w:pPr>
          </w:p>
          <w:p w14:paraId="7F388756" w14:textId="23C5EC50" w:rsidR="00AF63FA" w:rsidRPr="00AF63FA" w:rsidRDefault="00AF63FA" w:rsidP="00AF63FA">
            <w:pPr>
              <w:pStyle w:val="ListParagraph"/>
              <w:ind w:left="252"/>
              <w:jc w:val="both"/>
              <w:rPr>
                <w:rFonts w:asciiTheme="majorHAnsi" w:hAnsiTheme="majorHAnsi"/>
                <w:sz w:val="22"/>
                <w:szCs w:val="22"/>
              </w:rPr>
            </w:pPr>
            <w:r w:rsidRPr="00565522">
              <w:rPr>
                <w:rFonts w:asciiTheme="majorHAnsi" w:hAnsiTheme="majorHAnsi"/>
                <w:sz w:val="22"/>
                <w:szCs w:val="22"/>
              </w:rPr>
              <w:t>Any purchase of additional generating capacity must be done</w:t>
            </w:r>
            <w:r>
              <w:rPr>
                <w:rFonts w:asciiTheme="majorHAnsi" w:hAnsiTheme="majorHAnsi"/>
                <w:sz w:val="22"/>
                <w:szCs w:val="22"/>
              </w:rPr>
              <w:t xml:space="preserve"> upon determination by the President of an imminent shortage in supply and through a joint resolution by the Congress,</w:t>
            </w:r>
            <w:r w:rsidRPr="00565522">
              <w:rPr>
                <w:rFonts w:asciiTheme="majorHAnsi" w:hAnsiTheme="majorHAnsi"/>
                <w:sz w:val="22"/>
                <w:szCs w:val="22"/>
              </w:rPr>
              <w:t xml:space="preserve"> in compliance with Section 71 of </w:t>
            </w:r>
            <w:r w:rsidRPr="00565522">
              <w:rPr>
                <w:rFonts w:asciiTheme="majorHAnsi" w:hAnsiTheme="majorHAnsi"/>
                <w:sz w:val="22"/>
                <w:szCs w:val="22"/>
              </w:rPr>
              <w:lastRenderedPageBreak/>
              <w:t xml:space="preserve">the EPIRA.  </w:t>
            </w:r>
          </w:p>
          <w:p w14:paraId="4198766F" w14:textId="77777777" w:rsidR="00F84E7F" w:rsidRDefault="00F84E7F" w:rsidP="004C190B">
            <w:pPr>
              <w:jc w:val="both"/>
              <w:rPr>
                <w:rFonts w:asciiTheme="majorHAnsi" w:hAnsiTheme="majorHAnsi"/>
                <w:sz w:val="22"/>
                <w:szCs w:val="22"/>
              </w:rPr>
            </w:pPr>
          </w:p>
          <w:p w14:paraId="79DEE8B1" w14:textId="7791CFA0" w:rsidR="00AF63FA" w:rsidRDefault="00AF63FA" w:rsidP="00AF63FA">
            <w:pPr>
              <w:pStyle w:val="ListParagraph"/>
              <w:numPr>
                <w:ilvl w:val="0"/>
                <w:numId w:val="12"/>
              </w:numPr>
              <w:ind w:left="252" w:hanging="180"/>
              <w:jc w:val="both"/>
              <w:rPr>
                <w:rFonts w:asciiTheme="majorHAnsi" w:hAnsiTheme="majorHAnsi"/>
                <w:sz w:val="22"/>
                <w:szCs w:val="22"/>
              </w:rPr>
            </w:pPr>
            <w:r>
              <w:rPr>
                <w:rFonts w:asciiTheme="majorHAnsi" w:hAnsiTheme="majorHAnsi"/>
                <w:sz w:val="22"/>
                <w:szCs w:val="22"/>
              </w:rPr>
              <w:t>For clarification:</w:t>
            </w:r>
          </w:p>
          <w:p w14:paraId="68B118D4" w14:textId="77777777" w:rsidR="007A7D34" w:rsidRDefault="007A7D34" w:rsidP="007A7D34">
            <w:pPr>
              <w:pStyle w:val="ListParagraph"/>
              <w:ind w:left="252"/>
              <w:jc w:val="both"/>
              <w:rPr>
                <w:rFonts w:asciiTheme="majorHAnsi" w:hAnsiTheme="majorHAnsi"/>
                <w:sz w:val="22"/>
                <w:szCs w:val="22"/>
              </w:rPr>
            </w:pPr>
          </w:p>
          <w:p w14:paraId="1D6F2E6E" w14:textId="4C9C8F3D" w:rsidR="00AF63FA" w:rsidRDefault="00D942F0" w:rsidP="00AF63FA">
            <w:pPr>
              <w:pStyle w:val="ListParagraph"/>
              <w:numPr>
                <w:ilvl w:val="1"/>
                <w:numId w:val="12"/>
              </w:numPr>
              <w:ind w:left="522" w:hanging="270"/>
              <w:jc w:val="both"/>
              <w:rPr>
                <w:rFonts w:asciiTheme="majorHAnsi" w:hAnsiTheme="majorHAnsi"/>
                <w:sz w:val="22"/>
                <w:szCs w:val="22"/>
              </w:rPr>
            </w:pPr>
            <w:r w:rsidRPr="00AF63FA">
              <w:rPr>
                <w:rFonts w:asciiTheme="majorHAnsi" w:hAnsiTheme="majorHAnsi"/>
                <w:sz w:val="22"/>
                <w:szCs w:val="22"/>
              </w:rPr>
              <w:t>The proposed additional genera</w:t>
            </w:r>
            <w:r w:rsidR="00310C0F" w:rsidRPr="00AF63FA">
              <w:rPr>
                <w:rFonts w:asciiTheme="majorHAnsi" w:hAnsiTheme="majorHAnsi"/>
                <w:sz w:val="22"/>
                <w:szCs w:val="22"/>
              </w:rPr>
              <w:t>ting capacity to be secured is “at least 1,000MW</w:t>
            </w:r>
            <w:r w:rsidR="00AF63FA" w:rsidRPr="00AF63FA">
              <w:rPr>
                <w:rFonts w:asciiTheme="majorHAnsi" w:hAnsiTheme="majorHAnsi"/>
                <w:sz w:val="22"/>
                <w:szCs w:val="22"/>
              </w:rPr>
              <w:t>”</w:t>
            </w:r>
            <w:r w:rsidR="00310C0F" w:rsidRPr="00AF63FA">
              <w:rPr>
                <w:rFonts w:asciiTheme="majorHAnsi" w:hAnsiTheme="majorHAnsi"/>
                <w:sz w:val="22"/>
                <w:szCs w:val="22"/>
              </w:rPr>
              <w:t>.</w:t>
            </w:r>
            <w:r w:rsidR="00AF63FA" w:rsidRPr="00AF63FA">
              <w:rPr>
                <w:rFonts w:asciiTheme="majorHAnsi" w:hAnsiTheme="majorHAnsi"/>
                <w:sz w:val="22"/>
                <w:szCs w:val="22"/>
              </w:rPr>
              <w:t xml:space="preserve"> What methodology was used in determining this capacity?</w:t>
            </w:r>
          </w:p>
          <w:p w14:paraId="576C22DF" w14:textId="77777777" w:rsidR="008422E0" w:rsidRDefault="008422E0" w:rsidP="008422E0">
            <w:pPr>
              <w:pStyle w:val="ListParagraph"/>
              <w:ind w:left="522"/>
              <w:jc w:val="both"/>
              <w:rPr>
                <w:rFonts w:asciiTheme="majorHAnsi" w:hAnsiTheme="majorHAnsi"/>
                <w:sz w:val="22"/>
                <w:szCs w:val="22"/>
              </w:rPr>
            </w:pPr>
          </w:p>
          <w:p w14:paraId="5EDF24D2" w14:textId="1C91DDDF" w:rsidR="00AF63FA" w:rsidRDefault="00AF63FA" w:rsidP="00AF63FA">
            <w:pPr>
              <w:pStyle w:val="ListParagraph"/>
              <w:numPr>
                <w:ilvl w:val="1"/>
                <w:numId w:val="12"/>
              </w:numPr>
              <w:ind w:left="522" w:hanging="270"/>
              <w:jc w:val="both"/>
              <w:rPr>
                <w:rFonts w:asciiTheme="majorHAnsi" w:hAnsiTheme="majorHAnsi"/>
                <w:sz w:val="22"/>
                <w:szCs w:val="22"/>
              </w:rPr>
            </w:pPr>
            <w:r>
              <w:rPr>
                <w:rFonts w:asciiTheme="majorHAnsi" w:hAnsiTheme="majorHAnsi"/>
                <w:sz w:val="22"/>
                <w:szCs w:val="22"/>
              </w:rPr>
              <w:t>What aspect of electricity security is being addressed? Is it the long term, medium term or short term security?</w:t>
            </w:r>
          </w:p>
          <w:p w14:paraId="6A82B600" w14:textId="77777777" w:rsidR="008422E0" w:rsidRPr="008422E0" w:rsidRDefault="008422E0" w:rsidP="008422E0">
            <w:pPr>
              <w:jc w:val="both"/>
              <w:rPr>
                <w:rFonts w:asciiTheme="majorHAnsi" w:hAnsiTheme="majorHAnsi"/>
                <w:sz w:val="22"/>
                <w:szCs w:val="22"/>
              </w:rPr>
            </w:pPr>
          </w:p>
          <w:p w14:paraId="22F986BC" w14:textId="3EAFC05E" w:rsidR="00AF63FA" w:rsidRDefault="00AF63FA" w:rsidP="00AF63FA">
            <w:pPr>
              <w:pStyle w:val="ListParagraph"/>
              <w:numPr>
                <w:ilvl w:val="1"/>
                <w:numId w:val="12"/>
              </w:numPr>
              <w:ind w:left="522" w:hanging="270"/>
              <w:jc w:val="both"/>
              <w:rPr>
                <w:rFonts w:asciiTheme="majorHAnsi" w:hAnsiTheme="majorHAnsi"/>
                <w:sz w:val="22"/>
                <w:szCs w:val="22"/>
              </w:rPr>
            </w:pPr>
            <w:r>
              <w:rPr>
                <w:rFonts w:asciiTheme="majorHAnsi" w:hAnsiTheme="majorHAnsi"/>
                <w:sz w:val="22"/>
                <w:szCs w:val="22"/>
              </w:rPr>
              <w:t>In proposing that the government purchase generator sets,</w:t>
            </w:r>
            <w:r w:rsidR="00493640">
              <w:rPr>
                <w:rFonts w:asciiTheme="majorHAnsi" w:hAnsiTheme="majorHAnsi"/>
                <w:sz w:val="22"/>
                <w:szCs w:val="22"/>
              </w:rPr>
              <w:t xml:space="preserve"> did the proponent consider other technologies, i.e. coal, diesel, natural gas, renewable energy, etc., to determine the optimal mix in addressing </w:t>
            </w:r>
            <w:proofErr w:type="spellStart"/>
            <w:r w:rsidR="00493640">
              <w:rPr>
                <w:rFonts w:asciiTheme="majorHAnsi" w:hAnsiTheme="majorHAnsi"/>
                <w:sz w:val="22"/>
                <w:szCs w:val="22"/>
              </w:rPr>
              <w:t>baseload</w:t>
            </w:r>
            <w:proofErr w:type="spellEnd"/>
            <w:r w:rsidR="00493640">
              <w:rPr>
                <w:rFonts w:asciiTheme="majorHAnsi" w:hAnsiTheme="majorHAnsi"/>
                <w:sz w:val="22"/>
                <w:szCs w:val="22"/>
              </w:rPr>
              <w:t>, mid-merit and peak demands?</w:t>
            </w:r>
          </w:p>
          <w:p w14:paraId="50D20128" w14:textId="77777777" w:rsidR="008422E0" w:rsidRPr="008422E0" w:rsidRDefault="008422E0" w:rsidP="008422E0">
            <w:pPr>
              <w:jc w:val="both"/>
              <w:rPr>
                <w:rFonts w:asciiTheme="majorHAnsi" w:hAnsiTheme="majorHAnsi"/>
                <w:sz w:val="22"/>
                <w:szCs w:val="22"/>
              </w:rPr>
            </w:pPr>
          </w:p>
          <w:p w14:paraId="59CA79F0" w14:textId="48F5E7EF" w:rsidR="00493640" w:rsidRDefault="00493640" w:rsidP="00AF63FA">
            <w:pPr>
              <w:pStyle w:val="ListParagraph"/>
              <w:numPr>
                <w:ilvl w:val="1"/>
                <w:numId w:val="12"/>
              </w:numPr>
              <w:ind w:left="522" w:hanging="270"/>
              <w:jc w:val="both"/>
              <w:rPr>
                <w:rFonts w:asciiTheme="majorHAnsi" w:hAnsiTheme="majorHAnsi"/>
                <w:sz w:val="22"/>
                <w:szCs w:val="22"/>
              </w:rPr>
            </w:pPr>
            <w:r>
              <w:rPr>
                <w:rFonts w:asciiTheme="majorHAnsi" w:hAnsiTheme="majorHAnsi"/>
                <w:sz w:val="22"/>
                <w:szCs w:val="22"/>
              </w:rPr>
              <w:t xml:space="preserve">Was there a study conducted to determine the costs of purchasing generator sets and its impact on electricity prices in light of the declared policy of the state in the EPIRA to ensure “affordability of the supply of electric </w:t>
            </w:r>
            <w:r>
              <w:rPr>
                <w:rFonts w:asciiTheme="majorHAnsi" w:hAnsiTheme="majorHAnsi"/>
                <w:sz w:val="22"/>
                <w:szCs w:val="22"/>
              </w:rPr>
              <w:lastRenderedPageBreak/>
              <w:t>power</w:t>
            </w:r>
            <w:r>
              <w:rPr>
                <w:rStyle w:val="FootnoteReference"/>
                <w:rFonts w:asciiTheme="majorHAnsi" w:hAnsiTheme="majorHAnsi"/>
                <w:sz w:val="22"/>
                <w:szCs w:val="22"/>
              </w:rPr>
              <w:footnoteReference w:id="13"/>
            </w:r>
            <w:r>
              <w:rPr>
                <w:rFonts w:asciiTheme="majorHAnsi" w:hAnsiTheme="majorHAnsi"/>
                <w:sz w:val="22"/>
                <w:szCs w:val="22"/>
              </w:rPr>
              <w:t>” and “transparent and reasonable prices of electricity</w:t>
            </w:r>
            <w:r>
              <w:rPr>
                <w:rStyle w:val="FootnoteReference"/>
                <w:rFonts w:asciiTheme="majorHAnsi" w:hAnsiTheme="majorHAnsi"/>
                <w:sz w:val="22"/>
                <w:szCs w:val="22"/>
              </w:rPr>
              <w:footnoteReference w:id="14"/>
            </w:r>
            <w:r>
              <w:rPr>
                <w:rFonts w:asciiTheme="majorHAnsi" w:hAnsiTheme="majorHAnsi"/>
                <w:sz w:val="22"/>
                <w:szCs w:val="22"/>
              </w:rPr>
              <w:t xml:space="preserve">”? </w:t>
            </w:r>
          </w:p>
          <w:p w14:paraId="4B63B3A7" w14:textId="77777777" w:rsidR="008422E0" w:rsidRPr="008422E0" w:rsidRDefault="008422E0" w:rsidP="008422E0">
            <w:pPr>
              <w:jc w:val="both"/>
              <w:rPr>
                <w:rFonts w:asciiTheme="majorHAnsi" w:hAnsiTheme="majorHAnsi"/>
                <w:sz w:val="22"/>
                <w:szCs w:val="22"/>
              </w:rPr>
            </w:pPr>
          </w:p>
          <w:p w14:paraId="6511856E" w14:textId="38483B78" w:rsidR="00493640" w:rsidRPr="00D62AB2" w:rsidRDefault="00493640" w:rsidP="00D62AB2">
            <w:pPr>
              <w:pStyle w:val="ListParagraph"/>
              <w:numPr>
                <w:ilvl w:val="1"/>
                <w:numId w:val="12"/>
              </w:numPr>
              <w:ind w:left="522" w:hanging="270"/>
              <w:jc w:val="both"/>
              <w:rPr>
                <w:rFonts w:asciiTheme="majorHAnsi" w:hAnsiTheme="majorHAnsi"/>
                <w:sz w:val="22"/>
                <w:szCs w:val="22"/>
              </w:rPr>
            </w:pPr>
            <w:r>
              <w:rPr>
                <w:rFonts w:asciiTheme="majorHAnsi" w:hAnsiTheme="majorHAnsi"/>
                <w:sz w:val="22"/>
                <w:szCs w:val="22"/>
              </w:rPr>
              <w:t xml:space="preserve">Will </w:t>
            </w:r>
            <w:r w:rsidR="00AF63FA" w:rsidRPr="00AF63FA">
              <w:rPr>
                <w:rFonts w:asciiTheme="majorHAnsi" w:hAnsiTheme="majorHAnsi"/>
                <w:sz w:val="22"/>
                <w:szCs w:val="22"/>
              </w:rPr>
              <w:t>the add</w:t>
            </w:r>
            <w:r>
              <w:rPr>
                <w:rFonts w:asciiTheme="majorHAnsi" w:hAnsiTheme="majorHAnsi"/>
                <w:sz w:val="22"/>
                <w:szCs w:val="22"/>
              </w:rPr>
              <w:t>itional generating capacity</w:t>
            </w:r>
            <w:r w:rsidR="00AF63FA" w:rsidRPr="00AF63FA">
              <w:rPr>
                <w:rFonts w:asciiTheme="majorHAnsi" w:hAnsiTheme="majorHAnsi"/>
                <w:sz w:val="22"/>
                <w:szCs w:val="22"/>
              </w:rPr>
              <w:t xml:space="preserve"> be for the entire Grid (Luzon, </w:t>
            </w:r>
            <w:proofErr w:type="spellStart"/>
            <w:r w:rsidR="00AF63FA" w:rsidRPr="00AF63FA">
              <w:rPr>
                <w:rFonts w:asciiTheme="majorHAnsi" w:hAnsiTheme="majorHAnsi"/>
                <w:sz w:val="22"/>
                <w:szCs w:val="22"/>
              </w:rPr>
              <w:t>Visayas</w:t>
            </w:r>
            <w:proofErr w:type="spellEnd"/>
            <w:r w:rsidR="00AF63FA" w:rsidRPr="00AF63FA">
              <w:rPr>
                <w:rFonts w:asciiTheme="majorHAnsi" w:hAnsiTheme="majorHAnsi"/>
                <w:sz w:val="22"/>
                <w:szCs w:val="22"/>
              </w:rPr>
              <w:t xml:space="preserve"> and Mindan</w:t>
            </w:r>
            <w:r>
              <w:rPr>
                <w:rFonts w:asciiTheme="majorHAnsi" w:hAnsiTheme="majorHAnsi"/>
                <w:sz w:val="22"/>
                <w:szCs w:val="22"/>
              </w:rPr>
              <w:t>ao) or for the Luzon Grid only?</w:t>
            </w:r>
          </w:p>
          <w:p w14:paraId="4C31424A" w14:textId="520C099B" w:rsidR="001F14E1" w:rsidRPr="00AF63FA" w:rsidRDefault="001F14E1" w:rsidP="00AF63FA">
            <w:pPr>
              <w:pStyle w:val="ListParagraph"/>
              <w:ind w:left="612"/>
              <w:jc w:val="both"/>
              <w:rPr>
                <w:rFonts w:asciiTheme="majorHAnsi" w:hAnsiTheme="majorHAnsi"/>
                <w:sz w:val="22"/>
                <w:szCs w:val="22"/>
              </w:rPr>
            </w:pPr>
          </w:p>
        </w:tc>
      </w:tr>
      <w:tr w:rsidR="004178FF" w:rsidRPr="00C14B3A" w14:paraId="76797A04" w14:textId="77777777" w:rsidTr="004D4782">
        <w:trPr>
          <w:jc w:val="center"/>
        </w:trPr>
        <w:tc>
          <w:tcPr>
            <w:tcW w:w="4784" w:type="dxa"/>
          </w:tcPr>
          <w:p w14:paraId="3396C680" w14:textId="6C38CAD7" w:rsidR="004178FF" w:rsidRDefault="00AF63FA" w:rsidP="004178FF">
            <w:pPr>
              <w:jc w:val="both"/>
              <w:rPr>
                <w:rFonts w:asciiTheme="majorHAnsi" w:hAnsiTheme="majorHAnsi"/>
                <w:b/>
                <w:sz w:val="22"/>
                <w:szCs w:val="22"/>
              </w:rPr>
            </w:pPr>
            <w:r>
              <w:rPr>
                <w:rFonts w:asciiTheme="majorHAnsi" w:hAnsiTheme="majorHAnsi"/>
                <w:b/>
                <w:sz w:val="22"/>
                <w:szCs w:val="22"/>
              </w:rPr>
              <w:lastRenderedPageBreak/>
              <w:t>Sec. 3. Purchase of Modular Generator Sets (</w:t>
            </w:r>
            <w:proofErr w:type="spellStart"/>
            <w:r>
              <w:rPr>
                <w:rFonts w:asciiTheme="majorHAnsi" w:hAnsiTheme="majorHAnsi"/>
                <w:b/>
                <w:sz w:val="22"/>
                <w:szCs w:val="22"/>
              </w:rPr>
              <w:t>GenSets</w:t>
            </w:r>
            <w:proofErr w:type="spellEnd"/>
            <w:r>
              <w:rPr>
                <w:rFonts w:asciiTheme="majorHAnsi" w:hAnsiTheme="majorHAnsi"/>
                <w:b/>
                <w:sz w:val="22"/>
                <w:szCs w:val="22"/>
              </w:rPr>
              <w:t>).</w:t>
            </w:r>
          </w:p>
          <w:p w14:paraId="3A49EB8D" w14:textId="77777777" w:rsidR="00AF63FA" w:rsidRDefault="00AF63FA" w:rsidP="004178FF">
            <w:pPr>
              <w:jc w:val="both"/>
              <w:rPr>
                <w:rFonts w:asciiTheme="majorHAnsi" w:hAnsiTheme="majorHAnsi"/>
                <w:b/>
                <w:sz w:val="22"/>
                <w:szCs w:val="22"/>
              </w:rPr>
            </w:pPr>
          </w:p>
          <w:p w14:paraId="72204780" w14:textId="535AD661" w:rsidR="00AF63FA" w:rsidRPr="00AF63FA" w:rsidRDefault="00AF63FA" w:rsidP="004178FF">
            <w:pPr>
              <w:jc w:val="both"/>
              <w:rPr>
                <w:rFonts w:asciiTheme="majorHAnsi" w:hAnsiTheme="majorHAnsi"/>
                <w:sz w:val="22"/>
                <w:szCs w:val="22"/>
              </w:rPr>
            </w:pPr>
            <w:r>
              <w:rPr>
                <w:rFonts w:asciiTheme="majorHAnsi" w:hAnsiTheme="majorHAnsi"/>
                <w:sz w:val="22"/>
                <w:szCs w:val="22"/>
              </w:rPr>
              <w:t xml:space="preserve">“xxx </w:t>
            </w:r>
            <w:r>
              <w:rPr>
                <w:rFonts w:asciiTheme="majorHAnsi" w:hAnsiTheme="majorHAnsi"/>
                <w:i/>
                <w:sz w:val="22"/>
                <w:szCs w:val="22"/>
              </w:rPr>
              <w:t>Provided</w:t>
            </w:r>
            <w:r>
              <w:rPr>
                <w:rFonts w:asciiTheme="majorHAnsi" w:hAnsiTheme="majorHAnsi"/>
                <w:sz w:val="22"/>
                <w:szCs w:val="22"/>
              </w:rPr>
              <w:t>, That the modular generator sets to be purchased under this Act shall only serve as a backup generator and shall only be used during Yellow and Red Alert status of power supply, which modular generator sets shall not be counted as part of the country’s current power supply;”</w:t>
            </w:r>
          </w:p>
        </w:tc>
        <w:tc>
          <w:tcPr>
            <w:tcW w:w="4473" w:type="dxa"/>
          </w:tcPr>
          <w:p w14:paraId="251BE3F7" w14:textId="77777777" w:rsidR="00883CA9" w:rsidRPr="00C14B3A" w:rsidRDefault="00883CA9" w:rsidP="00F126BA">
            <w:pPr>
              <w:jc w:val="both"/>
              <w:rPr>
                <w:rFonts w:asciiTheme="majorHAnsi" w:hAnsiTheme="majorHAnsi"/>
                <w:b/>
                <w:sz w:val="22"/>
                <w:szCs w:val="22"/>
              </w:rPr>
            </w:pPr>
          </w:p>
        </w:tc>
        <w:tc>
          <w:tcPr>
            <w:tcW w:w="4497" w:type="dxa"/>
          </w:tcPr>
          <w:p w14:paraId="3235FFA9" w14:textId="77777777" w:rsidR="008422E0" w:rsidRDefault="008422E0" w:rsidP="008422E0">
            <w:pPr>
              <w:pStyle w:val="ListParagraph"/>
              <w:numPr>
                <w:ilvl w:val="0"/>
                <w:numId w:val="12"/>
              </w:numPr>
              <w:ind w:left="342" w:hanging="270"/>
              <w:jc w:val="both"/>
              <w:rPr>
                <w:rFonts w:asciiTheme="majorHAnsi" w:hAnsiTheme="majorHAnsi"/>
                <w:sz w:val="22"/>
                <w:szCs w:val="22"/>
              </w:rPr>
            </w:pPr>
            <w:r>
              <w:rPr>
                <w:rFonts w:asciiTheme="majorHAnsi" w:hAnsiTheme="majorHAnsi"/>
                <w:sz w:val="22"/>
                <w:szCs w:val="22"/>
              </w:rPr>
              <w:t>Dispatching</w:t>
            </w:r>
            <w:r w:rsidR="00D62AB2">
              <w:rPr>
                <w:rFonts w:asciiTheme="majorHAnsi" w:hAnsiTheme="majorHAnsi"/>
                <w:sz w:val="22"/>
                <w:szCs w:val="22"/>
              </w:rPr>
              <w:t xml:space="preserve"> the generator sets during Yellow and Red Alert status </w:t>
            </w:r>
            <w:r>
              <w:rPr>
                <w:rFonts w:asciiTheme="majorHAnsi" w:hAnsiTheme="majorHAnsi"/>
                <w:sz w:val="22"/>
                <w:szCs w:val="22"/>
              </w:rPr>
              <w:t xml:space="preserve">not only </w:t>
            </w:r>
            <w:r w:rsidR="00D62AB2">
              <w:rPr>
                <w:rFonts w:asciiTheme="majorHAnsi" w:hAnsiTheme="majorHAnsi"/>
                <w:sz w:val="22"/>
                <w:szCs w:val="22"/>
              </w:rPr>
              <w:t xml:space="preserve">takes away the responsibility </w:t>
            </w:r>
            <w:r>
              <w:rPr>
                <w:rFonts w:asciiTheme="majorHAnsi" w:hAnsiTheme="majorHAnsi"/>
                <w:sz w:val="22"/>
                <w:szCs w:val="22"/>
              </w:rPr>
              <w:t>from</w:t>
            </w:r>
            <w:r w:rsidR="00D62AB2">
              <w:rPr>
                <w:rFonts w:asciiTheme="majorHAnsi" w:hAnsiTheme="majorHAnsi"/>
                <w:sz w:val="22"/>
                <w:szCs w:val="22"/>
              </w:rPr>
              <w:t xml:space="preserve"> NGCP to contract sufficient ancillary services</w:t>
            </w:r>
            <w:r>
              <w:rPr>
                <w:rFonts w:asciiTheme="majorHAnsi" w:hAnsiTheme="majorHAnsi"/>
                <w:sz w:val="22"/>
                <w:szCs w:val="22"/>
              </w:rPr>
              <w:t>, but also displaces Generators that are available to run at that time.</w:t>
            </w:r>
          </w:p>
          <w:p w14:paraId="55A47181" w14:textId="77777777" w:rsidR="008422E0" w:rsidRDefault="008422E0" w:rsidP="008422E0">
            <w:pPr>
              <w:pStyle w:val="ListParagraph"/>
              <w:ind w:left="342"/>
              <w:jc w:val="both"/>
              <w:rPr>
                <w:rFonts w:asciiTheme="majorHAnsi" w:hAnsiTheme="majorHAnsi"/>
                <w:sz w:val="22"/>
                <w:szCs w:val="22"/>
              </w:rPr>
            </w:pPr>
          </w:p>
          <w:p w14:paraId="3304A71A" w14:textId="77777777" w:rsidR="00CC5F46" w:rsidRDefault="00CC5F46" w:rsidP="008422E0">
            <w:pPr>
              <w:pStyle w:val="ListParagraph"/>
              <w:numPr>
                <w:ilvl w:val="0"/>
                <w:numId w:val="12"/>
              </w:numPr>
              <w:ind w:left="342" w:hanging="270"/>
              <w:jc w:val="both"/>
              <w:rPr>
                <w:rFonts w:asciiTheme="majorHAnsi" w:hAnsiTheme="majorHAnsi"/>
                <w:sz w:val="22"/>
                <w:szCs w:val="22"/>
              </w:rPr>
            </w:pPr>
            <w:r>
              <w:rPr>
                <w:rFonts w:asciiTheme="majorHAnsi" w:hAnsiTheme="majorHAnsi"/>
                <w:sz w:val="22"/>
                <w:szCs w:val="22"/>
              </w:rPr>
              <w:t>Clarification</w:t>
            </w:r>
          </w:p>
          <w:p w14:paraId="7EFE57CA" w14:textId="77777777" w:rsidR="00CC5F46" w:rsidRPr="00CC5F46" w:rsidRDefault="00CC5F46" w:rsidP="00CC5F46">
            <w:pPr>
              <w:pStyle w:val="ListParagraph"/>
              <w:rPr>
                <w:rFonts w:asciiTheme="majorHAnsi" w:hAnsiTheme="majorHAnsi"/>
                <w:sz w:val="22"/>
                <w:szCs w:val="22"/>
              </w:rPr>
            </w:pPr>
          </w:p>
          <w:p w14:paraId="02CC42C5" w14:textId="77777777" w:rsidR="004178FF" w:rsidRDefault="008422E0" w:rsidP="00CC5F46">
            <w:pPr>
              <w:pStyle w:val="ListParagraph"/>
              <w:numPr>
                <w:ilvl w:val="1"/>
                <w:numId w:val="12"/>
              </w:numPr>
              <w:ind w:left="522" w:hanging="270"/>
              <w:jc w:val="both"/>
              <w:rPr>
                <w:rFonts w:asciiTheme="majorHAnsi" w:hAnsiTheme="majorHAnsi"/>
                <w:sz w:val="22"/>
                <w:szCs w:val="22"/>
              </w:rPr>
            </w:pPr>
            <w:r>
              <w:rPr>
                <w:rFonts w:asciiTheme="majorHAnsi" w:hAnsiTheme="majorHAnsi"/>
                <w:sz w:val="22"/>
                <w:szCs w:val="22"/>
              </w:rPr>
              <w:t xml:space="preserve">If the generator sets are not to run when it is not Yellow/Red Alert </w:t>
            </w:r>
            <w:proofErr w:type="gramStart"/>
            <w:r>
              <w:rPr>
                <w:rFonts w:asciiTheme="majorHAnsi" w:hAnsiTheme="majorHAnsi"/>
                <w:sz w:val="22"/>
                <w:szCs w:val="22"/>
              </w:rPr>
              <w:t>status,</w:t>
            </w:r>
            <w:proofErr w:type="gramEnd"/>
            <w:r>
              <w:rPr>
                <w:rFonts w:asciiTheme="majorHAnsi" w:hAnsiTheme="majorHAnsi"/>
                <w:sz w:val="22"/>
                <w:szCs w:val="22"/>
              </w:rPr>
              <w:t xml:space="preserve"> how will the government recover its costs in purchasing the same? In addition, how will the government fund the operations and maintenance of the plant? Will these costs ultimately end up as stranded costs, and thus contravene the EPIRA?</w:t>
            </w:r>
          </w:p>
          <w:p w14:paraId="56CEBAE8" w14:textId="77777777" w:rsidR="008422E0" w:rsidRDefault="008422E0" w:rsidP="00CC5F46">
            <w:pPr>
              <w:jc w:val="both"/>
              <w:rPr>
                <w:rFonts w:asciiTheme="majorHAnsi" w:hAnsiTheme="majorHAnsi"/>
                <w:sz w:val="22"/>
                <w:szCs w:val="22"/>
              </w:rPr>
            </w:pPr>
          </w:p>
          <w:p w14:paraId="1D56A5B3" w14:textId="4FF62AEC" w:rsidR="00BA59D5" w:rsidRDefault="00BA59D5" w:rsidP="00CC5F46">
            <w:pPr>
              <w:jc w:val="both"/>
              <w:rPr>
                <w:rFonts w:asciiTheme="majorHAnsi" w:hAnsiTheme="majorHAnsi"/>
                <w:sz w:val="22"/>
                <w:szCs w:val="22"/>
              </w:rPr>
            </w:pPr>
            <w:r w:rsidRPr="001D1D56">
              <w:rPr>
                <w:rFonts w:asciiTheme="majorHAnsi" w:hAnsiTheme="majorHAnsi"/>
                <w:sz w:val="22"/>
                <w:szCs w:val="22"/>
              </w:rPr>
              <w:t>PSALM is currently managing the plants in their portfolio in such a way that they may ultimately recover their costs. The propos</w:t>
            </w:r>
            <w:r w:rsidR="00B03B99" w:rsidRPr="001D1D56">
              <w:rPr>
                <w:rFonts w:asciiTheme="majorHAnsi" w:hAnsiTheme="majorHAnsi"/>
                <w:sz w:val="22"/>
                <w:szCs w:val="22"/>
              </w:rPr>
              <w:t xml:space="preserve">ed </w:t>
            </w:r>
            <w:r w:rsidRPr="001D1D56">
              <w:rPr>
                <w:rFonts w:asciiTheme="majorHAnsi" w:hAnsiTheme="majorHAnsi"/>
                <w:sz w:val="22"/>
                <w:szCs w:val="22"/>
              </w:rPr>
              <w:t>bill is contrary to PSALM’s objectives, since the procurement of additional capacity and using it for continge</w:t>
            </w:r>
            <w:r w:rsidR="00B03B99" w:rsidRPr="001D1D56">
              <w:rPr>
                <w:rFonts w:asciiTheme="majorHAnsi" w:hAnsiTheme="majorHAnsi"/>
                <w:sz w:val="22"/>
                <w:szCs w:val="22"/>
              </w:rPr>
              <w:t>ncy purposes will only add to PSALM’s liabilities.</w:t>
            </w:r>
          </w:p>
          <w:p w14:paraId="53E54360" w14:textId="77777777" w:rsidR="00BA59D5" w:rsidRDefault="00BA59D5" w:rsidP="00CC5F46">
            <w:pPr>
              <w:jc w:val="both"/>
              <w:rPr>
                <w:rFonts w:asciiTheme="majorHAnsi" w:hAnsiTheme="majorHAnsi"/>
                <w:sz w:val="22"/>
                <w:szCs w:val="22"/>
              </w:rPr>
            </w:pPr>
          </w:p>
          <w:p w14:paraId="3A05401D" w14:textId="2353AA67" w:rsidR="00BA59D5" w:rsidRPr="00CC5F46" w:rsidRDefault="00BA59D5" w:rsidP="00CC5F46">
            <w:pPr>
              <w:jc w:val="both"/>
              <w:rPr>
                <w:rFonts w:asciiTheme="majorHAnsi" w:hAnsiTheme="majorHAnsi"/>
                <w:sz w:val="22"/>
                <w:szCs w:val="22"/>
              </w:rPr>
            </w:pPr>
          </w:p>
        </w:tc>
      </w:tr>
    </w:tbl>
    <w:p w14:paraId="0534E1CE" w14:textId="77777777" w:rsidR="009F346B" w:rsidRPr="009F346B" w:rsidRDefault="009F346B">
      <w:pPr>
        <w:rPr>
          <w:rFonts w:asciiTheme="majorHAnsi" w:hAnsiTheme="majorHAnsi"/>
        </w:rPr>
      </w:pPr>
    </w:p>
    <w:sectPr w:rsidR="009F346B" w:rsidRPr="009F346B" w:rsidSect="009F346B">
      <w:headerReference w:type="even" r:id="rId9"/>
      <w:headerReference w:type="default" r:id="rId10"/>
      <w:pgSz w:w="16840" w:h="11900"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E0DFA" w14:textId="77777777" w:rsidR="00064200" w:rsidRDefault="00064200" w:rsidP="009F346B">
      <w:r>
        <w:separator/>
      </w:r>
    </w:p>
  </w:endnote>
  <w:endnote w:type="continuationSeparator" w:id="0">
    <w:p w14:paraId="48AADE0E" w14:textId="77777777" w:rsidR="00064200" w:rsidRDefault="00064200" w:rsidP="009F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9AA05" w14:textId="77777777" w:rsidR="00064200" w:rsidRDefault="00064200" w:rsidP="009F346B">
      <w:r>
        <w:separator/>
      </w:r>
    </w:p>
  </w:footnote>
  <w:footnote w:type="continuationSeparator" w:id="0">
    <w:p w14:paraId="41A4F2BF" w14:textId="77777777" w:rsidR="00064200" w:rsidRDefault="00064200" w:rsidP="009F346B">
      <w:r>
        <w:continuationSeparator/>
      </w:r>
    </w:p>
  </w:footnote>
  <w:footnote w:id="1">
    <w:p w14:paraId="562B50F4" w14:textId="36314DB9" w:rsidR="003F40EF" w:rsidRDefault="003F40EF">
      <w:pPr>
        <w:pStyle w:val="FootnoteText"/>
      </w:pPr>
      <w:r>
        <w:rPr>
          <w:rStyle w:val="FootnoteReference"/>
        </w:rPr>
        <w:footnoteRef/>
      </w:r>
      <w:r>
        <w:t xml:space="preserve"> </w:t>
      </w:r>
      <w:r w:rsidR="007949FD">
        <w:t>1.2 Definition of Terms, Ancillary Services Procurement Plan (Rules, Terms and Conditions for the Provision of Open Access Transmission Service)</w:t>
      </w:r>
      <w:r w:rsidR="008B0B8E">
        <w:t>.</w:t>
      </w:r>
    </w:p>
  </w:footnote>
  <w:footnote w:id="2">
    <w:p w14:paraId="3E6624EF" w14:textId="7A712009" w:rsidR="00BB40D0" w:rsidRDefault="00BB40D0">
      <w:pPr>
        <w:pStyle w:val="FootnoteText"/>
      </w:pPr>
      <w:r>
        <w:rPr>
          <w:rStyle w:val="FootnoteReference"/>
        </w:rPr>
        <w:footnoteRef/>
      </w:r>
      <w:r>
        <w:t xml:space="preserve"> 1.6. Definitions, Philippine Grid Code, Amendment No. 1 (April 2, 2007).</w:t>
      </w:r>
    </w:p>
  </w:footnote>
  <w:footnote w:id="3">
    <w:p w14:paraId="14296FA4" w14:textId="25036D1C" w:rsidR="009C1456" w:rsidRDefault="009C1456" w:rsidP="00B37690">
      <w:pPr>
        <w:pStyle w:val="FootnoteText"/>
        <w:jc w:val="both"/>
      </w:pPr>
      <w:r>
        <w:rPr>
          <w:rStyle w:val="FootnoteReference"/>
        </w:rPr>
        <w:footnoteRef/>
      </w:r>
      <w:r>
        <w:t xml:space="preserve"> Section </w:t>
      </w:r>
      <w:r w:rsidR="00CE07AB">
        <w:t>6</w:t>
      </w:r>
      <w:r>
        <w:t xml:space="preserve">.3.1.2 </w:t>
      </w:r>
      <w:r w:rsidRPr="009C1456">
        <w:t xml:space="preserve">Operational Responsibilities of the </w:t>
      </w:r>
      <w:r>
        <w:t>System Operator</w:t>
      </w:r>
      <w:r w:rsidR="00BB40D0">
        <w:t xml:space="preserve">, </w:t>
      </w:r>
      <w:r w:rsidR="00CE07AB">
        <w:t>Philippine Grid Code, Amendment No. 1 (April 2, 2007)</w:t>
      </w:r>
      <w:r w:rsidR="00BB40D0">
        <w:t>.</w:t>
      </w:r>
    </w:p>
    <w:p w14:paraId="2EC160DC" w14:textId="77777777" w:rsidR="00B37690" w:rsidRDefault="00B37690" w:rsidP="00B37690">
      <w:pPr>
        <w:pStyle w:val="FootnoteText"/>
        <w:jc w:val="both"/>
      </w:pPr>
    </w:p>
    <w:p w14:paraId="61D2A578" w14:textId="681CC01A" w:rsidR="009C1456" w:rsidRDefault="009C1456" w:rsidP="00B37690">
      <w:pPr>
        <w:pStyle w:val="FootnoteText"/>
        <w:ind w:left="900" w:right="730"/>
        <w:jc w:val="both"/>
      </w:pPr>
      <w:r>
        <w:t>“</w:t>
      </w:r>
      <w:r w:rsidR="00CE07AB">
        <w:t>6</w:t>
      </w:r>
      <w:r>
        <w:t xml:space="preserve">.3.1.2 The System Operator shall be responsible for determining, acquiring and dispatching the capacity needed to supply the required Grid Ancillary Services… xxx” </w:t>
      </w:r>
    </w:p>
    <w:p w14:paraId="4BAD9776" w14:textId="77777777" w:rsidR="00B37690" w:rsidRDefault="00B37690" w:rsidP="00B37690">
      <w:pPr>
        <w:pStyle w:val="FootnoteText"/>
        <w:ind w:left="900" w:right="730"/>
        <w:jc w:val="both"/>
      </w:pPr>
    </w:p>
  </w:footnote>
  <w:footnote w:id="4">
    <w:p w14:paraId="00AAFD78" w14:textId="247E0D25" w:rsidR="00B37690" w:rsidRDefault="00B37690" w:rsidP="00B37690">
      <w:pPr>
        <w:pStyle w:val="FootnoteText"/>
        <w:jc w:val="both"/>
      </w:pPr>
      <w:r>
        <w:rPr>
          <w:rStyle w:val="FootnoteReference"/>
        </w:rPr>
        <w:footnoteRef/>
      </w:r>
      <w:r>
        <w:t xml:space="preserve"> </w:t>
      </w:r>
      <w:proofErr w:type="gramStart"/>
      <w:r>
        <w:t>Section 1.</w:t>
      </w:r>
      <w:proofErr w:type="gramEnd"/>
      <w:r>
        <w:t xml:space="preserve"> Nature and Scope of Franchise, Republic Act No. 9511, otherwise known as “</w:t>
      </w:r>
      <w:r w:rsidRPr="00B37690">
        <w:rPr>
          <w:bCs/>
          <w:i/>
        </w:rPr>
        <w:t>An Act Granting The National Grid Corporation Of The Philippines A Franchise To Engage In The Business Of Conveying Or Transmitting Electricity Through High Voltage Back-Bone System Of Interconnected Transmission Lines, Substations And Related Facilities, And For Other Purposes</w:t>
      </w:r>
      <w:r>
        <w:rPr>
          <w:bCs/>
          <w:i/>
        </w:rPr>
        <w:t>”</w:t>
      </w:r>
    </w:p>
    <w:p w14:paraId="0741B2D9" w14:textId="77777777" w:rsidR="00B37690" w:rsidRDefault="00B37690">
      <w:pPr>
        <w:pStyle w:val="FootnoteText"/>
      </w:pPr>
    </w:p>
    <w:p w14:paraId="1C993A79" w14:textId="45C186AD" w:rsidR="00B37690" w:rsidRDefault="00B37690" w:rsidP="00B37690">
      <w:pPr>
        <w:pStyle w:val="FootnoteText"/>
        <w:ind w:left="900" w:right="730"/>
        <w:jc w:val="both"/>
      </w:pPr>
      <w:r>
        <w:t xml:space="preserve">“xxx </w:t>
      </w:r>
      <w:r w:rsidRPr="00B37690">
        <w:t>there is hereby granted to the National Grid Corporation of the Philippines, hereunder referred to as the Grantee, its successors or assigns, a franchise to operate, manage and maintain, and in connection therewith, to engage in the business of conveying or transmitting electricity through high voltage back-bone system of interconnected transmission lines, substations and related facilities, system operations, and other activities that are necessary to support the safe and reliable operation of the transmission system</w:t>
      </w:r>
      <w:r>
        <w:t xml:space="preserve"> xxx”</w:t>
      </w:r>
      <w:r w:rsidRPr="00B37690">
        <w:t> </w:t>
      </w:r>
      <w:r>
        <w:t xml:space="preserve"> </w:t>
      </w:r>
    </w:p>
  </w:footnote>
  <w:footnote w:id="5">
    <w:p w14:paraId="15BE0F5F" w14:textId="02E01101" w:rsidR="00CC73FE" w:rsidRDefault="00CC73FE">
      <w:pPr>
        <w:pStyle w:val="FootnoteText"/>
      </w:pPr>
      <w:r>
        <w:rPr>
          <w:rStyle w:val="FootnoteReference"/>
        </w:rPr>
        <w:footnoteRef/>
      </w:r>
      <w:r>
        <w:t xml:space="preserve"> Republic Act No. 9136, otherwise known as the </w:t>
      </w:r>
      <w:r>
        <w:rPr>
          <w:i/>
        </w:rPr>
        <w:t>“Electric Power Industry Reform Act of 2001”.</w:t>
      </w:r>
    </w:p>
  </w:footnote>
  <w:footnote w:id="6">
    <w:p w14:paraId="49EBAFA6" w14:textId="4FF8351C" w:rsidR="00CC73FE" w:rsidRPr="006E7EDC" w:rsidRDefault="00CC73FE" w:rsidP="00CC73FE">
      <w:pPr>
        <w:pStyle w:val="FootnoteText"/>
        <w:rPr>
          <w:i/>
        </w:rPr>
      </w:pPr>
      <w:r>
        <w:rPr>
          <w:rStyle w:val="FootnoteReference"/>
        </w:rPr>
        <w:footnoteRef/>
      </w:r>
      <w:r>
        <w:t xml:space="preserve"> </w:t>
      </w:r>
      <w:proofErr w:type="gramStart"/>
      <w:r>
        <w:t>Section</w:t>
      </w:r>
      <w:r w:rsidR="00442C02">
        <w:t xml:space="preserve"> 71, R.A </w:t>
      </w:r>
      <w:r>
        <w:t>9136.</w:t>
      </w:r>
      <w:proofErr w:type="gramEnd"/>
    </w:p>
  </w:footnote>
  <w:footnote w:id="7">
    <w:p w14:paraId="2C048501" w14:textId="77777777" w:rsidR="00A27873" w:rsidRDefault="00A27873" w:rsidP="00A27873">
      <w:pPr>
        <w:pStyle w:val="FootnoteText"/>
      </w:pPr>
      <w:r>
        <w:rPr>
          <w:rStyle w:val="FootnoteReference"/>
        </w:rPr>
        <w:footnoteRef/>
      </w:r>
      <w:r>
        <w:t xml:space="preserve"> </w:t>
      </w:r>
      <w:proofErr w:type="gramStart"/>
      <w:r>
        <w:t>WESM Manual for Administered Price Determination Methodology.</w:t>
      </w:r>
      <w:proofErr w:type="gramEnd"/>
    </w:p>
  </w:footnote>
  <w:footnote w:id="8">
    <w:p w14:paraId="5B0F6ED7" w14:textId="75259D80" w:rsidR="00442C02" w:rsidRDefault="00442C02">
      <w:pPr>
        <w:pStyle w:val="FootnoteText"/>
      </w:pPr>
      <w:r>
        <w:rPr>
          <w:rStyle w:val="FootnoteReference"/>
        </w:rPr>
        <w:footnoteRef/>
      </w:r>
      <w:r>
        <w:t xml:space="preserve"> </w:t>
      </w:r>
      <w:proofErr w:type="gramStart"/>
      <w:r>
        <w:t>Section 3, RA 9136.</w:t>
      </w:r>
      <w:proofErr w:type="gramEnd"/>
    </w:p>
  </w:footnote>
  <w:footnote w:id="9">
    <w:p w14:paraId="77CE95B5" w14:textId="4C2F0864" w:rsidR="00442C02" w:rsidRDefault="00442C02">
      <w:pPr>
        <w:pStyle w:val="FootnoteText"/>
      </w:pPr>
      <w:r>
        <w:rPr>
          <w:rStyle w:val="FootnoteReference"/>
        </w:rPr>
        <w:footnoteRef/>
      </w:r>
      <w:r>
        <w:t xml:space="preserve"> </w:t>
      </w:r>
      <w:proofErr w:type="gramStart"/>
      <w:r>
        <w:t>Section 2 (d) RA 9136.</w:t>
      </w:r>
      <w:proofErr w:type="gramEnd"/>
    </w:p>
  </w:footnote>
  <w:footnote w:id="10">
    <w:p w14:paraId="3AC377D1" w14:textId="06208A72" w:rsidR="00F84E7F" w:rsidRDefault="00F84E7F">
      <w:pPr>
        <w:pStyle w:val="FootnoteText"/>
      </w:pPr>
      <w:r>
        <w:rPr>
          <w:rStyle w:val="FootnoteReference"/>
        </w:rPr>
        <w:footnoteRef/>
      </w:r>
      <w:r>
        <w:t xml:space="preserve"> </w:t>
      </w:r>
      <w:proofErr w:type="gramStart"/>
      <w:r>
        <w:t>Section 50, RA 9136.</w:t>
      </w:r>
      <w:proofErr w:type="gramEnd"/>
    </w:p>
  </w:footnote>
  <w:footnote w:id="11">
    <w:p w14:paraId="411429CD" w14:textId="15782A20" w:rsidR="00F84E7F" w:rsidRDefault="00F84E7F">
      <w:pPr>
        <w:pStyle w:val="FootnoteText"/>
      </w:pPr>
      <w:r>
        <w:rPr>
          <w:rStyle w:val="FootnoteReference"/>
        </w:rPr>
        <w:footnoteRef/>
      </w:r>
      <w:r>
        <w:t xml:space="preserve"> </w:t>
      </w:r>
      <w:proofErr w:type="gramStart"/>
      <w:r>
        <w:t>Section 37, RA 9136.</w:t>
      </w:r>
      <w:proofErr w:type="gramEnd"/>
    </w:p>
  </w:footnote>
  <w:footnote w:id="12">
    <w:p w14:paraId="1A4E1907" w14:textId="708C079F" w:rsidR="00F84E7F" w:rsidRDefault="00F84E7F">
      <w:pPr>
        <w:pStyle w:val="FootnoteText"/>
      </w:pPr>
      <w:r>
        <w:rPr>
          <w:rStyle w:val="FootnoteReference"/>
        </w:rPr>
        <w:footnoteRef/>
      </w:r>
      <w:r>
        <w:t xml:space="preserve"> Section 37(e</w:t>
      </w:r>
      <w:proofErr w:type="gramStart"/>
      <w:r>
        <w:t>)(</w:t>
      </w:r>
      <w:proofErr w:type="gramEnd"/>
      <w:r>
        <w:t>ii), RA 9136.</w:t>
      </w:r>
    </w:p>
  </w:footnote>
  <w:footnote w:id="13">
    <w:p w14:paraId="45A29CA9" w14:textId="79684D19" w:rsidR="00493640" w:rsidRDefault="00493640">
      <w:pPr>
        <w:pStyle w:val="FootnoteText"/>
      </w:pPr>
      <w:r>
        <w:rPr>
          <w:rStyle w:val="FootnoteReference"/>
        </w:rPr>
        <w:footnoteRef/>
      </w:r>
      <w:r>
        <w:t xml:space="preserve"> </w:t>
      </w:r>
      <w:proofErr w:type="gramStart"/>
      <w:r>
        <w:t>Section 2(b), RA 9136.</w:t>
      </w:r>
      <w:proofErr w:type="gramEnd"/>
    </w:p>
  </w:footnote>
  <w:footnote w:id="14">
    <w:p w14:paraId="1CCFA015" w14:textId="0AB17010" w:rsidR="00493640" w:rsidRDefault="00493640">
      <w:pPr>
        <w:pStyle w:val="FootnoteText"/>
      </w:pPr>
      <w:r>
        <w:rPr>
          <w:rStyle w:val="FootnoteReference"/>
        </w:rPr>
        <w:footnoteRef/>
      </w:r>
      <w:r>
        <w:t xml:space="preserve"> Section 2</w:t>
      </w:r>
      <w:r w:rsidR="00CC5F46">
        <w:t>(c)</w:t>
      </w:r>
      <w:r>
        <w:t>, RA 9136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D8932" w14:textId="77777777" w:rsidR="002815C0" w:rsidRDefault="002815C0" w:rsidP="009F34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A4F60A" w14:textId="77777777" w:rsidR="002815C0" w:rsidRDefault="002815C0" w:rsidP="009F346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9F883" w14:textId="77777777" w:rsidR="002815C0" w:rsidRDefault="002815C0" w:rsidP="009F346B">
    <w:pPr>
      <w:pStyle w:val="Header"/>
      <w:framePr w:wrap="around" w:vAnchor="text" w:hAnchor="margin" w:xAlign="right" w:y="1"/>
      <w:jc w:val="right"/>
      <w:rPr>
        <w:rStyle w:val="PageNumber"/>
        <w:rFonts w:asciiTheme="majorHAnsi" w:hAnsiTheme="majorHAnsi"/>
        <w:sz w:val="22"/>
        <w:szCs w:val="22"/>
      </w:rPr>
    </w:pPr>
    <w:r w:rsidRPr="009F346B">
      <w:rPr>
        <w:rStyle w:val="PageNumber"/>
        <w:rFonts w:asciiTheme="majorHAnsi" w:hAnsiTheme="majorHAnsi"/>
        <w:sz w:val="22"/>
        <w:szCs w:val="22"/>
      </w:rPr>
      <w:fldChar w:fldCharType="begin"/>
    </w:r>
    <w:r w:rsidRPr="009F346B">
      <w:rPr>
        <w:rStyle w:val="PageNumber"/>
        <w:rFonts w:asciiTheme="majorHAnsi" w:hAnsiTheme="majorHAnsi"/>
        <w:sz w:val="22"/>
        <w:szCs w:val="22"/>
      </w:rPr>
      <w:instrText xml:space="preserve">PAGE  </w:instrText>
    </w:r>
    <w:r w:rsidRPr="009F346B">
      <w:rPr>
        <w:rStyle w:val="PageNumber"/>
        <w:rFonts w:asciiTheme="majorHAnsi" w:hAnsiTheme="majorHAnsi"/>
        <w:sz w:val="22"/>
        <w:szCs w:val="22"/>
      </w:rPr>
      <w:fldChar w:fldCharType="separate"/>
    </w:r>
    <w:r w:rsidR="003636D3">
      <w:rPr>
        <w:rStyle w:val="PageNumber"/>
        <w:rFonts w:asciiTheme="majorHAnsi" w:hAnsiTheme="majorHAnsi"/>
        <w:noProof/>
        <w:sz w:val="22"/>
        <w:szCs w:val="22"/>
      </w:rPr>
      <w:t>10</w:t>
    </w:r>
    <w:r w:rsidRPr="009F346B">
      <w:rPr>
        <w:rStyle w:val="PageNumber"/>
        <w:rFonts w:asciiTheme="majorHAnsi" w:hAnsiTheme="majorHAnsi"/>
        <w:sz w:val="22"/>
        <w:szCs w:val="22"/>
      </w:rPr>
      <w:fldChar w:fldCharType="end"/>
    </w:r>
  </w:p>
  <w:p w14:paraId="19DFAB2F" w14:textId="77777777" w:rsidR="002815C0" w:rsidRDefault="002815C0" w:rsidP="009F346B">
    <w:pPr>
      <w:pStyle w:val="Header"/>
      <w:framePr w:wrap="around" w:vAnchor="text" w:hAnchor="margin" w:xAlign="right" w:y="1"/>
      <w:jc w:val="right"/>
      <w:rPr>
        <w:rStyle w:val="PageNumber"/>
        <w:rFonts w:asciiTheme="majorHAnsi" w:hAnsiTheme="majorHAnsi"/>
        <w:sz w:val="22"/>
        <w:szCs w:val="22"/>
      </w:rPr>
    </w:pPr>
    <w:r>
      <w:rPr>
        <w:rStyle w:val="PageNumber"/>
        <w:rFonts w:asciiTheme="majorHAnsi" w:hAnsiTheme="majorHAnsi"/>
        <w:sz w:val="22"/>
        <w:szCs w:val="22"/>
      </w:rPr>
      <w:t>PIPPA Comments</w:t>
    </w:r>
  </w:p>
  <w:p w14:paraId="34B6EBA3" w14:textId="7287F9F4" w:rsidR="002815C0" w:rsidRDefault="001D1D56" w:rsidP="009F346B">
    <w:pPr>
      <w:pStyle w:val="Header"/>
      <w:framePr w:wrap="around" w:vAnchor="text" w:hAnchor="margin" w:xAlign="right" w:y="1"/>
      <w:jc w:val="right"/>
      <w:rPr>
        <w:rStyle w:val="PageNumber"/>
        <w:rFonts w:asciiTheme="majorHAnsi" w:hAnsiTheme="majorHAnsi"/>
        <w:sz w:val="22"/>
        <w:szCs w:val="22"/>
      </w:rPr>
    </w:pPr>
    <w:r>
      <w:rPr>
        <w:rStyle w:val="PageNumber"/>
        <w:rFonts w:asciiTheme="majorHAnsi" w:hAnsiTheme="majorHAnsi"/>
        <w:sz w:val="22"/>
        <w:szCs w:val="22"/>
      </w:rPr>
      <w:t>6 March 2015</w:t>
    </w:r>
  </w:p>
  <w:p w14:paraId="687AA394" w14:textId="2703A757" w:rsidR="002815C0" w:rsidRDefault="002815C0" w:rsidP="009F346B">
    <w:pPr>
      <w:pStyle w:val="Header"/>
      <w:framePr w:wrap="around" w:vAnchor="text" w:hAnchor="margin" w:xAlign="right" w:y="1"/>
      <w:jc w:val="right"/>
      <w:rPr>
        <w:rStyle w:val="PageNumber"/>
        <w:rFonts w:asciiTheme="majorHAnsi" w:hAnsiTheme="majorHAnsi"/>
        <w:sz w:val="22"/>
        <w:szCs w:val="22"/>
      </w:rPr>
    </w:pPr>
    <w:r>
      <w:rPr>
        <w:rStyle w:val="PageNumber"/>
        <w:rFonts w:asciiTheme="majorHAnsi" w:hAnsiTheme="majorHAnsi"/>
        <w:sz w:val="22"/>
        <w:szCs w:val="22"/>
      </w:rPr>
      <w:t xml:space="preserve">House </w:t>
    </w:r>
    <w:r w:rsidR="00FB2761">
      <w:rPr>
        <w:rStyle w:val="PageNumber"/>
        <w:rFonts w:asciiTheme="majorHAnsi" w:hAnsiTheme="majorHAnsi"/>
        <w:sz w:val="22"/>
        <w:szCs w:val="22"/>
      </w:rPr>
      <w:t>Bill</w:t>
    </w:r>
    <w:r>
      <w:rPr>
        <w:rStyle w:val="PageNumber"/>
        <w:rFonts w:asciiTheme="majorHAnsi" w:hAnsiTheme="majorHAnsi"/>
        <w:sz w:val="22"/>
        <w:szCs w:val="22"/>
      </w:rPr>
      <w:t xml:space="preserve"> on</w:t>
    </w:r>
    <w:r w:rsidR="001D1D56">
      <w:rPr>
        <w:rStyle w:val="PageNumber"/>
        <w:rFonts w:asciiTheme="majorHAnsi" w:hAnsiTheme="majorHAnsi"/>
        <w:sz w:val="22"/>
        <w:szCs w:val="22"/>
      </w:rPr>
      <w:t xml:space="preserve"> Energy Security Assets  </w:t>
    </w:r>
  </w:p>
  <w:p w14:paraId="43E25D07" w14:textId="77777777" w:rsidR="002815C0" w:rsidRPr="009F346B" w:rsidRDefault="002815C0" w:rsidP="009F346B">
    <w:pPr>
      <w:pStyle w:val="Header"/>
      <w:framePr w:wrap="around" w:vAnchor="text" w:hAnchor="margin" w:xAlign="right" w:y="1"/>
      <w:jc w:val="right"/>
      <w:rPr>
        <w:rStyle w:val="PageNumber"/>
        <w:rFonts w:asciiTheme="majorHAnsi" w:hAnsiTheme="majorHAnsi"/>
        <w:sz w:val="22"/>
        <w:szCs w:val="22"/>
      </w:rPr>
    </w:pPr>
  </w:p>
  <w:p w14:paraId="5E179D79" w14:textId="77777777" w:rsidR="002815C0" w:rsidRDefault="002815C0" w:rsidP="009F346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3553C"/>
    <w:multiLevelType w:val="hybridMultilevel"/>
    <w:tmpl w:val="14C06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16519"/>
    <w:multiLevelType w:val="hybridMultilevel"/>
    <w:tmpl w:val="55CE319C"/>
    <w:lvl w:ilvl="0" w:tplc="68EEFC64">
      <w:start w:val="1"/>
      <w:numFmt w:val="decimal"/>
      <w:lvlText w:val="(%1)"/>
      <w:lvlJc w:val="left"/>
      <w:pPr>
        <w:ind w:left="780" w:hanging="54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0B0C09BC"/>
    <w:multiLevelType w:val="hybridMultilevel"/>
    <w:tmpl w:val="9C7E15C4"/>
    <w:lvl w:ilvl="0" w:tplc="A2F057CC">
      <w:start w:val="25"/>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935DF"/>
    <w:multiLevelType w:val="hybridMultilevel"/>
    <w:tmpl w:val="6940589A"/>
    <w:lvl w:ilvl="0" w:tplc="E878DC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0067C"/>
    <w:multiLevelType w:val="hybridMultilevel"/>
    <w:tmpl w:val="55CE319C"/>
    <w:lvl w:ilvl="0" w:tplc="68EEFC64">
      <w:start w:val="1"/>
      <w:numFmt w:val="decimal"/>
      <w:lvlText w:val="(%1)"/>
      <w:lvlJc w:val="left"/>
      <w:pPr>
        <w:ind w:left="780" w:hanging="54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21C076B7"/>
    <w:multiLevelType w:val="hybridMultilevel"/>
    <w:tmpl w:val="835CECE8"/>
    <w:lvl w:ilvl="0" w:tplc="83E2D316">
      <w:start w:val="1"/>
      <w:numFmt w:val="decimal"/>
      <w:lvlText w:val="%1."/>
      <w:lvlJc w:val="left"/>
      <w:pPr>
        <w:ind w:left="720" w:hanging="360"/>
      </w:pPr>
      <w:rPr>
        <w:rFonts w:hint="default"/>
        <w:color w:val="0000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14AB7"/>
    <w:multiLevelType w:val="hybridMultilevel"/>
    <w:tmpl w:val="7BFE2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554618"/>
    <w:multiLevelType w:val="hybridMultilevel"/>
    <w:tmpl w:val="7BFE2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495B6D"/>
    <w:multiLevelType w:val="hybridMultilevel"/>
    <w:tmpl w:val="D0887628"/>
    <w:lvl w:ilvl="0" w:tplc="19288E26">
      <w:start w:val="2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236F5A"/>
    <w:multiLevelType w:val="hybridMultilevel"/>
    <w:tmpl w:val="C66000D2"/>
    <w:lvl w:ilvl="0" w:tplc="AF528E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5B493F"/>
    <w:multiLevelType w:val="hybridMultilevel"/>
    <w:tmpl w:val="6940589A"/>
    <w:lvl w:ilvl="0" w:tplc="E878DC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F24798"/>
    <w:multiLevelType w:val="hybridMultilevel"/>
    <w:tmpl w:val="C66000D2"/>
    <w:lvl w:ilvl="0" w:tplc="AF528E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27506B"/>
    <w:multiLevelType w:val="hybridMultilevel"/>
    <w:tmpl w:val="F20E8522"/>
    <w:lvl w:ilvl="0" w:tplc="F978F56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2"/>
  </w:num>
  <w:num w:numId="4">
    <w:abstractNumId w:val="10"/>
  </w:num>
  <w:num w:numId="5">
    <w:abstractNumId w:val="0"/>
  </w:num>
  <w:num w:numId="6">
    <w:abstractNumId w:val="5"/>
  </w:num>
  <w:num w:numId="7">
    <w:abstractNumId w:val="2"/>
  </w:num>
  <w:num w:numId="8">
    <w:abstractNumId w:val="7"/>
  </w:num>
  <w:num w:numId="9">
    <w:abstractNumId w:val="8"/>
  </w:num>
  <w:num w:numId="10">
    <w:abstractNumId w:val="1"/>
  </w:num>
  <w:num w:numId="11">
    <w:abstractNumId w:val="9"/>
  </w:num>
  <w:num w:numId="12">
    <w:abstractNumId w:val="3"/>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46B"/>
    <w:rsid w:val="000519D4"/>
    <w:rsid w:val="00060569"/>
    <w:rsid w:val="000621AA"/>
    <w:rsid w:val="00064200"/>
    <w:rsid w:val="000701F5"/>
    <w:rsid w:val="00081A62"/>
    <w:rsid w:val="0009504A"/>
    <w:rsid w:val="000E4E0B"/>
    <w:rsid w:val="0010391F"/>
    <w:rsid w:val="00112A67"/>
    <w:rsid w:val="00114B8C"/>
    <w:rsid w:val="00135B2B"/>
    <w:rsid w:val="00144957"/>
    <w:rsid w:val="00144C8C"/>
    <w:rsid w:val="001455F6"/>
    <w:rsid w:val="001469F0"/>
    <w:rsid w:val="0017341F"/>
    <w:rsid w:val="001A7EEB"/>
    <w:rsid w:val="001B18EA"/>
    <w:rsid w:val="001C68B0"/>
    <w:rsid w:val="001D1D56"/>
    <w:rsid w:val="001D4868"/>
    <w:rsid w:val="001E63C6"/>
    <w:rsid w:val="001F14E1"/>
    <w:rsid w:val="002112AC"/>
    <w:rsid w:val="002130AA"/>
    <w:rsid w:val="0021399C"/>
    <w:rsid w:val="00227483"/>
    <w:rsid w:val="00234425"/>
    <w:rsid w:val="002415B2"/>
    <w:rsid w:val="00255910"/>
    <w:rsid w:val="002754A4"/>
    <w:rsid w:val="00277DCB"/>
    <w:rsid w:val="002815C0"/>
    <w:rsid w:val="00285688"/>
    <w:rsid w:val="002A6589"/>
    <w:rsid w:val="002B7DCD"/>
    <w:rsid w:val="002C7FAB"/>
    <w:rsid w:val="002F5656"/>
    <w:rsid w:val="00310C0F"/>
    <w:rsid w:val="00354DAD"/>
    <w:rsid w:val="00363629"/>
    <w:rsid w:val="003636D3"/>
    <w:rsid w:val="003B1D1B"/>
    <w:rsid w:val="003E0E6E"/>
    <w:rsid w:val="003E2849"/>
    <w:rsid w:val="003E6B73"/>
    <w:rsid w:val="003F110B"/>
    <w:rsid w:val="003F2F59"/>
    <w:rsid w:val="003F40EF"/>
    <w:rsid w:val="004178FF"/>
    <w:rsid w:val="00436207"/>
    <w:rsid w:val="00442C02"/>
    <w:rsid w:val="00443BFE"/>
    <w:rsid w:val="00452652"/>
    <w:rsid w:val="004659B7"/>
    <w:rsid w:val="004766D7"/>
    <w:rsid w:val="00482FBD"/>
    <w:rsid w:val="00493640"/>
    <w:rsid w:val="004B011B"/>
    <w:rsid w:val="004C190B"/>
    <w:rsid w:val="004C2DA7"/>
    <w:rsid w:val="004D2B89"/>
    <w:rsid w:val="004D4782"/>
    <w:rsid w:val="004F561A"/>
    <w:rsid w:val="00515860"/>
    <w:rsid w:val="00515F44"/>
    <w:rsid w:val="00527B22"/>
    <w:rsid w:val="00551D2E"/>
    <w:rsid w:val="005525E9"/>
    <w:rsid w:val="00565522"/>
    <w:rsid w:val="00570554"/>
    <w:rsid w:val="00571ABF"/>
    <w:rsid w:val="005775FA"/>
    <w:rsid w:val="005E3E42"/>
    <w:rsid w:val="0060031E"/>
    <w:rsid w:val="00605D72"/>
    <w:rsid w:val="00626758"/>
    <w:rsid w:val="00631704"/>
    <w:rsid w:val="006508AF"/>
    <w:rsid w:val="00671433"/>
    <w:rsid w:val="00690306"/>
    <w:rsid w:val="00695813"/>
    <w:rsid w:val="006B277A"/>
    <w:rsid w:val="006C4D11"/>
    <w:rsid w:val="006D33A4"/>
    <w:rsid w:val="006E7981"/>
    <w:rsid w:val="006E7EDC"/>
    <w:rsid w:val="007026B2"/>
    <w:rsid w:val="0070732F"/>
    <w:rsid w:val="007122F5"/>
    <w:rsid w:val="007420CC"/>
    <w:rsid w:val="00744CD6"/>
    <w:rsid w:val="00746583"/>
    <w:rsid w:val="00755F20"/>
    <w:rsid w:val="0076470F"/>
    <w:rsid w:val="00764C91"/>
    <w:rsid w:val="007745EA"/>
    <w:rsid w:val="00792836"/>
    <w:rsid w:val="00793C5E"/>
    <w:rsid w:val="007949FD"/>
    <w:rsid w:val="007A7D34"/>
    <w:rsid w:val="007C6E04"/>
    <w:rsid w:val="007E594F"/>
    <w:rsid w:val="007F3F63"/>
    <w:rsid w:val="00800DE5"/>
    <w:rsid w:val="00803C28"/>
    <w:rsid w:val="00824CC7"/>
    <w:rsid w:val="0082612F"/>
    <w:rsid w:val="008422E0"/>
    <w:rsid w:val="00863F49"/>
    <w:rsid w:val="0088145D"/>
    <w:rsid w:val="00883CA9"/>
    <w:rsid w:val="008A2BFF"/>
    <w:rsid w:val="008A799D"/>
    <w:rsid w:val="008B0B8E"/>
    <w:rsid w:val="008B29B9"/>
    <w:rsid w:val="008C6592"/>
    <w:rsid w:val="008D3A0C"/>
    <w:rsid w:val="008D6731"/>
    <w:rsid w:val="00915679"/>
    <w:rsid w:val="0093602E"/>
    <w:rsid w:val="0095612E"/>
    <w:rsid w:val="00982D8F"/>
    <w:rsid w:val="009870B5"/>
    <w:rsid w:val="009A4D35"/>
    <w:rsid w:val="009A7EA5"/>
    <w:rsid w:val="009C1456"/>
    <w:rsid w:val="009C3D9D"/>
    <w:rsid w:val="009D396D"/>
    <w:rsid w:val="009D714B"/>
    <w:rsid w:val="009E7DC3"/>
    <w:rsid w:val="009F346B"/>
    <w:rsid w:val="00A16AC1"/>
    <w:rsid w:val="00A16E37"/>
    <w:rsid w:val="00A21C45"/>
    <w:rsid w:val="00A27873"/>
    <w:rsid w:val="00A44090"/>
    <w:rsid w:val="00A95197"/>
    <w:rsid w:val="00A97D86"/>
    <w:rsid w:val="00AC6C2A"/>
    <w:rsid w:val="00AC71FB"/>
    <w:rsid w:val="00AE1C4F"/>
    <w:rsid w:val="00AF63FA"/>
    <w:rsid w:val="00B03B99"/>
    <w:rsid w:val="00B157CF"/>
    <w:rsid w:val="00B173AF"/>
    <w:rsid w:val="00B249C8"/>
    <w:rsid w:val="00B26386"/>
    <w:rsid w:val="00B37690"/>
    <w:rsid w:val="00B37E5A"/>
    <w:rsid w:val="00B52576"/>
    <w:rsid w:val="00B5763F"/>
    <w:rsid w:val="00B8471E"/>
    <w:rsid w:val="00B94B1A"/>
    <w:rsid w:val="00BA27B7"/>
    <w:rsid w:val="00BA2952"/>
    <w:rsid w:val="00BA59D5"/>
    <w:rsid w:val="00BB40D0"/>
    <w:rsid w:val="00BD22FC"/>
    <w:rsid w:val="00BE4B4D"/>
    <w:rsid w:val="00BF2F13"/>
    <w:rsid w:val="00C03D8D"/>
    <w:rsid w:val="00C14B3A"/>
    <w:rsid w:val="00C231EF"/>
    <w:rsid w:val="00C73268"/>
    <w:rsid w:val="00C83671"/>
    <w:rsid w:val="00CC5F46"/>
    <w:rsid w:val="00CC73FE"/>
    <w:rsid w:val="00CD53B7"/>
    <w:rsid w:val="00CE07AB"/>
    <w:rsid w:val="00CF5376"/>
    <w:rsid w:val="00CF5EC8"/>
    <w:rsid w:val="00D23A09"/>
    <w:rsid w:val="00D43623"/>
    <w:rsid w:val="00D528BA"/>
    <w:rsid w:val="00D52A75"/>
    <w:rsid w:val="00D576D2"/>
    <w:rsid w:val="00D62AB2"/>
    <w:rsid w:val="00D737E3"/>
    <w:rsid w:val="00D83218"/>
    <w:rsid w:val="00D942F0"/>
    <w:rsid w:val="00DD43CF"/>
    <w:rsid w:val="00DE6F70"/>
    <w:rsid w:val="00DF04D7"/>
    <w:rsid w:val="00E11C24"/>
    <w:rsid w:val="00E30F80"/>
    <w:rsid w:val="00E3798C"/>
    <w:rsid w:val="00E37CD4"/>
    <w:rsid w:val="00E46138"/>
    <w:rsid w:val="00E71073"/>
    <w:rsid w:val="00E91562"/>
    <w:rsid w:val="00E919F3"/>
    <w:rsid w:val="00F07B4D"/>
    <w:rsid w:val="00F11945"/>
    <w:rsid w:val="00F126BA"/>
    <w:rsid w:val="00F23751"/>
    <w:rsid w:val="00F26404"/>
    <w:rsid w:val="00F84E7F"/>
    <w:rsid w:val="00F870A2"/>
    <w:rsid w:val="00F870E3"/>
    <w:rsid w:val="00F9648D"/>
    <w:rsid w:val="00FA0359"/>
    <w:rsid w:val="00FA1CEA"/>
    <w:rsid w:val="00FB2761"/>
    <w:rsid w:val="00FD365E"/>
    <w:rsid w:val="00FD7CAC"/>
    <w:rsid w:val="00FE24A4"/>
  </w:rsids>
  <m:mathPr>
    <m:mathFont m:val="Cambria Math"/>
    <m:brkBin m:val="before"/>
    <m:brkBinSub m:val="--"/>
    <m:smallFrac/>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CC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3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346B"/>
    <w:pPr>
      <w:tabs>
        <w:tab w:val="center" w:pos="4320"/>
        <w:tab w:val="right" w:pos="8640"/>
      </w:tabs>
    </w:pPr>
  </w:style>
  <w:style w:type="character" w:customStyle="1" w:styleId="HeaderChar">
    <w:name w:val="Header Char"/>
    <w:basedOn w:val="DefaultParagraphFont"/>
    <w:link w:val="Header"/>
    <w:uiPriority w:val="99"/>
    <w:rsid w:val="009F346B"/>
  </w:style>
  <w:style w:type="character" w:styleId="PageNumber">
    <w:name w:val="page number"/>
    <w:basedOn w:val="DefaultParagraphFont"/>
    <w:uiPriority w:val="99"/>
    <w:semiHidden/>
    <w:unhideWhenUsed/>
    <w:rsid w:val="009F346B"/>
  </w:style>
  <w:style w:type="paragraph" w:styleId="Footer">
    <w:name w:val="footer"/>
    <w:basedOn w:val="Normal"/>
    <w:link w:val="FooterChar"/>
    <w:uiPriority w:val="99"/>
    <w:unhideWhenUsed/>
    <w:rsid w:val="009F346B"/>
    <w:pPr>
      <w:tabs>
        <w:tab w:val="center" w:pos="4320"/>
        <w:tab w:val="right" w:pos="8640"/>
      </w:tabs>
    </w:pPr>
  </w:style>
  <w:style w:type="character" w:customStyle="1" w:styleId="FooterChar">
    <w:name w:val="Footer Char"/>
    <w:basedOn w:val="DefaultParagraphFont"/>
    <w:link w:val="Footer"/>
    <w:uiPriority w:val="99"/>
    <w:rsid w:val="009F346B"/>
  </w:style>
  <w:style w:type="paragraph" w:styleId="BalloonText">
    <w:name w:val="Balloon Text"/>
    <w:basedOn w:val="Normal"/>
    <w:link w:val="BalloonTextChar"/>
    <w:uiPriority w:val="99"/>
    <w:semiHidden/>
    <w:unhideWhenUsed/>
    <w:rsid w:val="00FA1C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1CEA"/>
    <w:rPr>
      <w:rFonts w:ascii="Lucida Grande" w:hAnsi="Lucida Grande" w:cs="Lucida Grande"/>
      <w:sz w:val="18"/>
      <w:szCs w:val="18"/>
    </w:rPr>
  </w:style>
  <w:style w:type="paragraph" w:styleId="ListParagraph">
    <w:name w:val="List Paragraph"/>
    <w:basedOn w:val="Normal"/>
    <w:uiPriority w:val="34"/>
    <w:qFormat/>
    <w:rsid w:val="002754A4"/>
    <w:pPr>
      <w:ind w:left="720"/>
      <w:contextualSpacing/>
    </w:pPr>
  </w:style>
  <w:style w:type="character" w:styleId="CommentReference">
    <w:name w:val="annotation reference"/>
    <w:basedOn w:val="DefaultParagraphFont"/>
    <w:uiPriority w:val="99"/>
    <w:semiHidden/>
    <w:unhideWhenUsed/>
    <w:rsid w:val="002A6589"/>
    <w:rPr>
      <w:sz w:val="16"/>
      <w:szCs w:val="16"/>
    </w:rPr>
  </w:style>
  <w:style w:type="paragraph" w:styleId="CommentText">
    <w:name w:val="annotation text"/>
    <w:basedOn w:val="Normal"/>
    <w:link w:val="CommentTextChar"/>
    <w:uiPriority w:val="99"/>
    <w:semiHidden/>
    <w:unhideWhenUsed/>
    <w:rsid w:val="002A6589"/>
    <w:rPr>
      <w:sz w:val="20"/>
      <w:szCs w:val="20"/>
    </w:rPr>
  </w:style>
  <w:style w:type="character" w:customStyle="1" w:styleId="CommentTextChar">
    <w:name w:val="Comment Text Char"/>
    <w:basedOn w:val="DefaultParagraphFont"/>
    <w:link w:val="CommentText"/>
    <w:uiPriority w:val="99"/>
    <w:semiHidden/>
    <w:rsid w:val="002A6589"/>
    <w:rPr>
      <w:sz w:val="20"/>
      <w:szCs w:val="20"/>
    </w:rPr>
  </w:style>
  <w:style w:type="paragraph" w:styleId="CommentSubject">
    <w:name w:val="annotation subject"/>
    <w:basedOn w:val="CommentText"/>
    <w:next w:val="CommentText"/>
    <w:link w:val="CommentSubjectChar"/>
    <w:uiPriority w:val="99"/>
    <w:semiHidden/>
    <w:unhideWhenUsed/>
    <w:rsid w:val="002A6589"/>
    <w:rPr>
      <w:b/>
      <w:bCs/>
    </w:rPr>
  </w:style>
  <w:style w:type="character" w:customStyle="1" w:styleId="CommentSubjectChar">
    <w:name w:val="Comment Subject Char"/>
    <w:basedOn w:val="CommentTextChar"/>
    <w:link w:val="CommentSubject"/>
    <w:uiPriority w:val="99"/>
    <w:semiHidden/>
    <w:rsid w:val="002A6589"/>
    <w:rPr>
      <w:b/>
      <w:bCs/>
      <w:sz w:val="20"/>
      <w:szCs w:val="20"/>
    </w:rPr>
  </w:style>
  <w:style w:type="paragraph" w:styleId="FootnoteText">
    <w:name w:val="footnote text"/>
    <w:basedOn w:val="Normal"/>
    <w:link w:val="FootnoteTextChar"/>
    <w:uiPriority w:val="99"/>
    <w:semiHidden/>
    <w:unhideWhenUsed/>
    <w:rsid w:val="009C1456"/>
    <w:rPr>
      <w:sz w:val="20"/>
      <w:szCs w:val="20"/>
    </w:rPr>
  </w:style>
  <w:style w:type="character" w:customStyle="1" w:styleId="FootnoteTextChar">
    <w:name w:val="Footnote Text Char"/>
    <w:basedOn w:val="DefaultParagraphFont"/>
    <w:link w:val="FootnoteText"/>
    <w:uiPriority w:val="99"/>
    <w:semiHidden/>
    <w:rsid w:val="009C1456"/>
    <w:rPr>
      <w:sz w:val="20"/>
      <w:szCs w:val="20"/>
    </w:rPr>
  </w:style>
  <w:style w:type="character" w:styleId="FootnoteReference">
    <w:name w:val="footnote reference"/>
    <w:basedOn w:val="DefaultParagraphFont"/>
    <w:uiPriority w:val="99"/>
    <w:semiHidden/>
    <w:unhideWhenUsed/>
    <w:rsid w:val="009C14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3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346B"/>
    <w:pPr>
      <w:tabs>
        <w:tab w:val="center" w:pos="4320"/>
        <w:tab w:val="right" w:pos="8640"/>
      </w:tabs>
    </w:pPr>
  </w:style>
  <w:style w:type="character" w:customStyle="1" w:styleId="HeaderChar">
    <w:name w:val="Header Char"/>
    <w:basedOn w:val="DefaultParagraphFont"/>
    <w:link w:val="Header"/>
    <w:uiPriority w:val="99"/>
    <w:rsid w:val="009F346B"/>
  </w:style>
  <w:style w:type="character" w:styleId="PageNumber">
    <w:name w:val="page number"/>
    <w:basedOn w:val="DefaultParagraphFont"/>
    <w:uiPriority w:val="99"/>
    <w:semiHidden/>
    <w:unhideWhenUsed/>
    <w:rsid w:val="009F346B"/>
  </w:style>
  <w:style w:type="paragraph" w:styleId="Footer">
    <w:name w:val="footer"/>
    <w:basedOn w:val="Normal"/>
    <w:link w:val="FooterChar"/>
    <w:uiPriority w:val="99"/>
    <w:unhideWhenUsed/>
    <w:rsid w:val="009F346B"/>
    <w:pPr>
      <w:tabs>
        <w:tab w:val="center" w:pos="4320"/>
        <w:tab w:val="right" w:pos="8640"/>
      </w:tabs>
    </w:pPr>
  </w:style>
  <w:style w:type="character" w:customStyle="1" w:styleId="FooterChar">
    <w:name w:val="Footer Char"/>
    <w:basedOn w:val="DefaultParagraphFont"/>
    <w:link w:val="Footer"/>
    <w:uiPriority w:val="99"/>
    <w:rsid w:val="009F346B"/>
  </w:style>
  <w:style w:type="paragraph" w:styleId="BalloonText">
    <w:name w:val="Balloon Text"/>
    <w:basedOn w:val="Normal"/>
    <w:link w:val="BalloonTextChar"/>
    <w:uiPriority w:val="99"/>
    <w:semiHidden/>
    <w:unhideWhenUsed/>
    <w:rsid w:val="00FA1C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1CEA"/>
    <w:rPr>
      <w:rFonts w:ascii="Lucida Grande" w:hAnsi="Lucida Grande" w:cs="Lucida Grande"/>
      <w:sz w:val="18"/>
      <w:szCs w:val="18"/>
    </w:rPr>
  </w:style>
  <w:style w:type="paragraph" w:styleId="ListParagraph">
    <w:name w:val="List Paragraph"/>
    <w:basedOn w:val="Normal"/>
    <w:uiPriority w:val="34"/>
    <w:qFormat/>
    <w:rsid w:val="002754A4"/>
    <w:pPr>
      <w:ind w:left="720"/>
      <w:contextualSpacing/>
    </w:pPr>
  </w:style>
  <w:style w:type="character" w:styleId="CommentReference">
    <w:name w:val="annotation reference"/>
    <w:basedOn w:val="DefaultParagraphFont"/>
    <w:uiPriority w:val="99"/>
    <w:semiHidden/>
    <w:unhideWhenUsed/>
    <w:rsid w:val="002A6589"/>
    <w:rPr>
      <w:sz w:val="16"/>
      <w:szCs w:val="16"/>
    </w:rPr>
  </w:style>
  <w:style w:type="paragraph" w:styleId="CommentText">
    <w:name w:val="annotation text"/>
    <w:basedOn w:val="Normal"/>
    <w:link w:val="CommentTextChar"/>
    <w:uiPriority w:val="99"/>
    <w:semiHidden/>
    <w:unhideWhenUsed/>
    <w:rsid w:val="002A6589"/>
    <w:rPr>
      <w:sz w:val="20"/>
      <w:szCs w:val="20"/>
    </w:rPr>
  </w:style>
  <w:style w:type="character" w:customStyle="1" w:styleId="CommentTextChar">
    <w:name w:val="Comment Text Char"/>
    <w:basedOn w:val="DefaultParagraphFont"/>
    <w:link w:val="CommentText"/>
    <w:uiPriority w:val="99"/>
    <w:semiHidden/>
    <w:rsid w:val="002A6589"/>
    <w:rPr>
      <w:sz w:val="20"/>
      <w:szCs w:val="20"/>
    </w:rPr>
  </w:style>
  <w:style w:type="paragraph" w:styleId="CommentSubject">
    <w:name w:val="annotation subject"/>
    <w:basedOn w:val="CommentText"/>
    <w:next w:val="CommentText"/>
    <w:link w:val="CommentSubjectChar"/>
    <w:uiPriority w:val="99"/>
    <w:semiHidden/>
    <w:unhideWhenUsed/>
    <w:rsid w:val="002A6589"/>
    <w:rPr>
      <w:b/>
      <w:bCs/>
    </w:rPr>
  </w:style>
  <w:style w:type="character" w:customStyle="1" w:styleId="CommentSubjectChar">
    <w:name w:val="Comment Subject Char"/>
    <w:basedOn w:val="CommentTextChar"/>
    <w:link w:val="CommentSubject"/>
    <w:uiPriority w:val="99"/>
    <w:semiHidden/>
    <w:rsid w:val="002A6589"/>
    <w:rPr>
      <w:b/>
      <w:bCs/>
      <w:sz w:val="20"/>
      <w:szCs w:val="20"/>
    </w:rPr>
  </w:style>
  <w:style w:type="paragraph" w:styleId="FootnoteText">
    <w:name w:val="footnote text"/>
    <w:basedOn w:val="Normal"/>
    <w:link w:val="FootnoteTextChar"/>
    <w:uiPriority w:val="99"/>
    <w:semiHidden/>
    <w:unhideWhenUsed/>
    <w:rsid w:val="009C1456"/>
    <w:rPr>
      <w:sz w:val="20"/>
      <w:szCs w:val="20"/>
    </w:rPr>
  </w:style>
  <w:style w:type="character" w:customStyle="1" w:styleId="FootnoteTextChar">
    <w:name w:val="Footnote Text Char"/>
    <w:basedOn w:val="DefaultParagraphFont"/>
    <w:link w:val="FootnoteText"/>
    <w:uiPriority w:val="99"/>
    <w:semiHidden/>
    <w:rsid w:val="009C1456"/>
    <w:rPr>
      <w:sz w:val="20"/>
      <w:szCs w:val="20"/>
    </w:rPr>
  </w:style>
  <w:style w:type="character" w:styleId="FootnoteReference">
    <w:name w:val="footnote reference"/>
    <w:basedOn w:val="DefaultParagraphFont"/>
    <w:uiPriority w:val="99"/>
    <w:semiHidden/>
    <w:unhideWhenUsed/>
    <w:rsid w:val="009C14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F1881-4D1E-45FC-8D75-AEEDE9FCB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AREM</dc:creator>
  <cp:lastModifiedBy>Cathy Bringas</cp:lastModifiedBy>
  <cp:revision>5</cp:revision>
  <dcterms:created xsi:type="dcterms:W3CDTF">2015-03-04T05:28:00Z</dcterms:created>
  <dcterms:modified xsi:type="dcterms:W3CDTF">2015-03-04T05:30:00Z</dcterms:modified>
</cp:coreProperties>
</file>